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75" w:afterAutospacing="0"/>
        <w:ind w:left="0" w:righ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榕城区</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教育局政府信息公开目录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center"/>
        <w:rPr>
          <w:color w:val="424242"/>
        </w:rPr>
      </w:pPr>
      <w:r>
        <w:rPr>
          <w:color w:val="424242"/>
        </w:rPr>
        <w:t>　　</w:t>
      </w:r>
      <w:r>
        <w:rPr>
          <w:rFonts w:hint="eastAsia" w:ascii="黑体" w:hAnsi="黑体" w:eastAsia="黑体" w:cs="黑体"/>
          <w:color w:val="424242"/>
          <w:sz w:val="32"/>
          <w:szCs w:val="32"/>
        </w:rPr>
        <w:t>第一部分  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黑体" w:hAnsi="黑体" w:eastAsia="黑体" w:cs="黑体"/>
          <w:color w:val="424242"/>
          <w:sz w:val="32"/>
          <w:szCs w:val="32"/>
        </w:rPr>
      </w:pPr>
      <w:r>
        <w:rPr>
          <w:color w:val="424242"/>
        </w:rPr>
        <w:t>　</w:t>
      </w:r>
      <w:r>
        <w:rPr>
          <w:rFonts w:hint="eastAsia" w:ascii="黑体" w:hAnsi="黑体" w:eastAsia="黑体" w:cs="黑体"/>
          <w:color w:val="424242"/>
          <w:sz w:val="32"/>
          <w:szCs w:val="32"/>
        </w:rPr>
        <w:t>　</w:t>
      </w:r>
      <w:r>
        <w:rPr>
          <w:rStyle w:val="8"/>
          <w:rFonts w:hint="eastAsia" w:ascii="黑体" w:hAnsi="黑体" w:eastAsia="黑体" w:cs="黑体"/>
          <w:color w:val="424242"/>
          <w:sz w:val="32"/>
          <w:szCs w:val="32"/>
        </w:rPr>
        <w:t>一、主要依据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firstLine="640" w:firstLineChars="200"/>
        <w:jc w:val="left"/>
        <w:rPr>
          <w:rFonts w:hint="eastAsia" w:ascii="仿宋" w:hAnsi="仿宋" w:eastAsia="仿宋" w:cs="仿宋"/>
          <w:color w:val="424242"/>
          <w:sz w:val="32"/>
          <w:szCs w:val="32"/>
        </w:rPr>
      </w:pPr>
      <w:r>
        <w:rPr>
          <w:rFonts w:hint="eastAsia" w:ascii="仿宋" w:hAnsi="仿宋" w:eastAsia="仿宋" w:cs="仿宋"/>
          <w:color w:val="424242"/>
          <w:sz w:val="32"/>
          <w:szCs w:val="32"/>
        </w:rPr>
        <w:t>1.《中华人民共和国政府信息公开条例》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firstLine="640" w:firstLineChars="200"/>
        <w:jc w:val="left"/>
        <w:rPr>
          <w:rFonts w:hint="eastAsia" w:ascii="仿宋" w:hAnsi="仿宋" w:eastAsia="仿宋" w:cs="仿宋"/>
          <w:color w:val="424242"/>
          <w:sz w:val="32"/>
          <w:szCs w:val="32"/>
        </w:rPr>
      </w:pPr>
      <w:r>
        <w:rPr>
          <w:rFonts w:hint="eastAsia" w:ascii="仿宋" w:hAnsi="仿宋" w:eastAsia="仿宋" w:cs="仿宋"/>
          <w:color w:val="424242"/>
          <w:sz w:val="32"/>
          <w:szCs w:val="32"/>
        </w:rPr>
        <w:t>2.中共中央办公厅、国务院办公厅《关于全面推进政务公开工作的意见》（中办发〔2016〕8号）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　　3.《国务院办公厅印发&lt;关于全面推进政务公开工作的意见&gt;实施细则的通知》（国办发〔2016〕80号）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　　4.《教育部办公厅关于公布&lt;教育部主动公开基本目录（2018年版）&gt;的通知》（教办厅函〔2018〕109号）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　　5.《广东省政府办公厅关于印发省级部门主动公开基本目录编制工作方案的通知》（粤办函〔2019〕142号）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　　6.《广东省人民政府办公厅关于进一步推进省市县三级主动公开基本目录编制发布工作的通知》（粤办函〔2021〕255号）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firstLine="640"/>
        <w:jc w:val="left"/>
        <w:rPr>
          <w:rStyle w:val="8"/>
          <w:rFonts w:hint="eastAsia" w:ascii="黑体" w:hAnsi="黑体" w:eastAsia="黑体" w:cs="黑体"/>
          <w:color w:val="424242"/>
          <w:sz w:val="32"/>
          <w:szCs w:val="32"/>
        </w:rPr>
      </w:pPr>
      <w:r>
        <w:rPr>
          <w:rStyle w:val="8"/>
          <w:rFonts w:hint="eastAsia" w:ascii="黑体" w:hAnsi="黑体" w:eastAsia="黑体" w:cs="黑体"/>
          <w:color w:val="424242"/>
          <w:sz w:val="32"/>
          <w:szCs w:val="32"/>
        </w:rPr>
        <w:t>二、责任主体、公开时限、方式和监督渠道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firstLine="640"/>
        <w:jc w:val="left"/>
        <w:rPr>
          <w:rFonts w:hint="eastAsia" w:ascii="仿宋" w:hAnsi="仿宋" w:eastAsia="仿宋" w:cs="仿宋"/>
          <w:color w:val="424242"/>
          <w:sz w:val="32"/>
          <w:szCs w:val="32"/>
        </w:rPr>
      </w:pPr>
      <w:r>
        <w:rPr>
          <w:rFonts w:hint="eastAsia" w:ascii="仿宋" w:hAnsi="仿宋" w:eastAsia="仿宋" w:cs="仿宋"/>
          <w:color w:val="424242"/>
          <w:sz w:val="32"/>
          <w:szCs w:val="32"/>
        </w:rPr>
        <w:t>【责任主体】</w:t>
      </w:r>
      <w:r>
        <w:rPr>
          <w:rFonts w:hint="eastAsia" w:ascii="仿宋" w:hAnsi="仿宋" w:eastAsia="仿宋" w:cs="仿宋"/>
          <w:color w:val="424242"/>
          <w:sz w:val="32"/>
          <w:szCs w:val="32"/>
          <w:lang w:val="en-US" w:eastAsia="zh-CN"/>
        </w:rPr>
        <w:t>榕城区</w:t>
      </w:r>
      <w:r>
        <w:rPr>
          <w:rFonts w:hint="eastAsia" w:ascii="仿宋" w:hAnsi="仿宋" w:eastAsia="仿宋" w:cs="仿宋"/>
          <w:color w:val="424242"/>
          <w:sz w:val="32"/>
          <w:szCs w:val="32"/>
        </w:rPr>
        <w:t>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　　【公开时限】政府信息形成或者变更之日起20个工作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日内（法律法规对政府信息公开的期限另有规定的从其规定）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　　【公开方式】局门户网站主动公开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　　【监督渠道】通过局门户网站互动、电话监督局门户网站互动：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eastAsia" w:ascii="仿宋" w:hAnsi="仿宋" w:eastAsia="仿宋" w:cs="仿宋"/>
          <w:color w:val="424242"/>
          <w:sz w:val="32"/>
          <w:szCs w:val="32"/>
        </w:rPr>
      </w:pPr>
      <w:r>
        <w:rPr>
          <w:rFonts w:hint="eastAsia" w:ascii="仿宋" w:hAnsi="仿宋" w:eastAsia="仿宋" w:cs="仿宋"/>
          <w:color w:val="424242"/>
          <w:sz w:val="32"/>
          <w:szCs w:val="32"/>
        </w:rPr>
        <w:t>　　http://www.jyrongcheng.gov.cn/hdjlpt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left"/>
        <w:rPr>
          <w:rFonts w:hint="default" w:ascii="仿宋" w:hAnsi="仿宋" w:eastAsia="仿宋" w:cs="仿宋"/>
          <w:color w:val="424242"/>
          <w:sz w:val="32"/>
          <w:szCs w:val="32"/>
          <w:lang w:val="en-US" w:eastAsia="zh-CN"/>
        </w:rPr>
      </w:pPr>
      <w:r>
        <w:rPr>
          <w:rFonts w:hint="eastAsia" w:ascii="仿宋" w:hAnsi="仿宋" w:eastAsia="仿宋" w:cs="仿宋"/>
          <w:color w:val="424242"/>
          <w:sz w:val="32"/>
          <w:szCs w:val="32"/>
        </w:rPr>
        <w:t>　　电话：0663-</w:t>
      </w:r>
      <w:r>
        <w:rPr>
          <w:rFonts w:hint="eastAsia" w:ascii="仿宋" w:hAnsi="仿宋" w:eastAsia="仿宋" w:cs="仿宋"/>
          <w:color w:val="424242"/>
          <w:sz w:val="32"/>
          <w:szCs w:val="32"/>
          <w:lang w:val="en-US" w:eastAsia="zh-CN"/>
        </w:rPr>
        <w:t>8623282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center"/>
        <w:rPr>
          <w:color w:val="424242"/>
        </w:rPr>
      </w:pPr>
      <w:r>
        <w:rPr>
          <w:color w:val="424242"/>
        </w:rPr>
        <w:t>　　</w:t>
      </w:r>
      <w:r>
        <w:rPr>
          <w:rFonts w:hint="eastAsia" w:ascii="黑体" w:hAnsi="黑体" w:eastAsia="黑体" w:cs="黑体"/>
          <w:color w:val="424242"/>
          <w:sz w:val="32"/>
          <w:szCs w:val="32"/>
        </w:rPr>
        <w:t>第二部分  主动公开基本目录</w:t>
      </w:r>
    </w:p>
    <w:tbl>
      <w:tblPr>
        <w:tblStyle w:val="6"/>
        <w:tblW w:w="907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2"/>
        <w:gridCol w:w="1571"/>
        <w:gridCol w:w="1573"/>
        <w:gridCol w:w="3091"/>
        <w:gridCol w:w="19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宋体" w:hAnsi="宋体" w:eastAsia="宋体" w:cs="宋体"/>
                <w:color w:val="424242"/>
                <w:sz w:val="24"/>
                <w:szCs w:val="24"/>
              </w:rPr>
            </w:pPr>
            <w:r>
              <w:rPr>
                <w:rFonts w:hint="eastAsia" w:ascii="宋体" w:hAnsi="宋体" w:eastAsia="宋体" w:cs="宋体"/>
                <w:color w:val="424242"/>
                <w:sz w:val="24"/>
                <w:szCs w:val="24"/>
              </w:rPr>
              <w:t>　　</w:t>
            </w:r>
            <w:r>
              <w:rPr>
                <w:rStyle w:val="8"/>
                <w:rFonts w:hint="eastAsia" w:ascii="宋体" w:hAnsi="宋体" w:eastAsia="宋体" w:cs="宋体"/>
                <w:color w:val="424242"/>
                <w:sz w:val="24"/>
                <w:szCs w:val="24"/>
              </w:rPr>
              <w:t>序号</w:t>
            </w:r>
          </w:p>
        </w:tc>
        <w:tc>
          <w:tcPr>
            <w:tcW w:w="3144"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宋体" w:hAnsi="宋体" w:eastAsia="宋体" w:cs="宋体"/>
                <w:color w:val="424242"/>
                <w:sz w:val="24"/>
                <w:szCs w:val="24"/>
              </w:rPr>
            </w:pPr>
            <w:r>
              <w:rPr>
                <w:rFonts w:hint="eastAsia" w:ascii="宋体" w:hAnsi="宋体" w:eastAsia="宋体" w:cs="宋体"/>
                <w:color w:val="424242"/>
                <w:sz w:val="24"/>
                <w:szCs w:val="24"/>
              </w:rPr>
              <w:t>　　</w:t>
            </w:r>
            <w:r>
              <w:rPr>
                <w:rStyle w:val="8"/>
                <w:rFonts w:hint="eastAsia" w:ascii="宋体" w:hAnsi="宋体" w:eastAsia="宋体" w:cs="宋体"/>
                <w:color w:val="424242"/>
                <w:sz w:val="24"/>
                <w:szCs w:val="24"/>
              </w:rPr>
              <w:t>公开事项</w:t>
            </w:r>
          </w:p>
        </w:tc>
        <w:tc>
          <w:tcPr>
            <w:tcW w:w="3091"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宋体" w:hAnsi="宋体" w:eastAsia="宋体" w:cs="宋体"/>
                <w:color w:val="424242"/>
                <w:sz w:val="24"/>
                <w:szCs w:val="24"/>
              </w:rPr>
            </w:pPr>
            <w:r>
              <w:rPr>
                <w:rStyle w:val="8"/>
                <w:rFonts w:hint="eastAsia" w:ascii="宋体" w:hAnsi="宋体" w:eastAsia="宋体" w:cs="宋体"/>
                <w:color w:val="424242"/>
                <w:sz w:val="24"/>
                <w:szCs w:val="24"/>
              </w:rPr>
              <w:t>公开内容</w:t>
            </w:r>
          </w:p>
        </w:tc>
        <w:tc>
          <w:tcPr>
            <w:tcW w:w="1961"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宋体" w:hAnsi="宋体" w:eastAsia="宋体" w:cs="宋体"/>
                <w:color w:val="424242"/>
                <w:sz w:val="24"/>
                <w:szCs w:val="24"/>
                <w:lang w:eastAsia="zh-CN"/>
              </w:rPr>
            </w:pPr>
            <w:r>
              <w:rPr>
                <w:rFonts w:hint="eastAsia" w:ascii="宋体" w:hAnsi="宋体" w:eastAsia="宋体" w:cs="宋体"/>
                <w:color w:val="424242"/>
                <w:sz w:val="24"/>
                <w:szCs w:val="24"/>
              </w:rPr>
              <w:t>　　</w:t>
            </w:r>
            <w:r>
              <w:rPr>
                <w:rStyle w:val="8"/>
                <w:rFonts w:hint="eastAsia" w:ascii="宋体" w:hAnsi="宋体" w:eastAsia="宋体" w:cs="宋体"/>
                <w:color w:val="424242"/>
                <w:sz w:val="24"/>
                <w:szCs w:val="24"/>
              </w:rPr>
              <w:t>责任</w:t>
            </w:r>
            <w:r>
              <w:rPr>
                <w:rStyle w:val="8"/>
                <w:rFonts w:hint="eastAsia" w:ascii="宋体" w:hAnsi="宋体" w:eastAsia="宋体" w:cs="宋体"/>
                <w:color w:val="424242"/>
                <w:sz w:val="24"/>
                <w:szCs w:val="24"/>
                <w:lang w:val="en-US" w:eastAsia="zh-CN"/>
              </w:rPr>
              <w:t>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hAnsi="宋体" w:eastAsia="宋体" w:cs="宋体"/>
                <w:sz w:val="24"/>
                <w:szCs w:val="24"/>
              </w:rPr>
            </w:pPr>
          </w:p>
        </w:tc>
        <w:tc>
          <w:tcPr>
            <w:tcW w:w="157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宋体" w:hAnsi="宋体" w:eastAsia="宋体" w:cs="宋体"/>
                <w:color w:val="424242"/>
                <w:sz w:val="24"/>
                <w:szCs w:val="24"/>
              </w:rPr>
            </w:pPr>
            <w:r>
              <w:rPr>
                <w:rFonts w:hint="eastAsia" w:ascii="宋体" w:hAnsi="宋体" w:eastAsia="宋体" w:cs="宋体"/>
                <w:color w:val="424242"/>
                <w:sz w:val="24"/>
                <w:szCs w:val="24"/>
              </w:rPr>
              <w:t>　　</w:t>
            </w:r>
            <w:r>
              <w:rPr>
                <w:rStyle w:val="8"/>
                <w:rFonts w:hint="eastAsia" w:ascii="宋体" w:hAnsi="宋体" w:eastAsia="宋体" w:cs="宋体"/>
                <w:color w:val="424242"/>
                <w:sz w:val="24"/>
                <w:szCs w:val="24"/>
              </w:rPr>
              <w:t>一级</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宋体" w:hAnsi="宋体" w:eastAsia="宋体" w:cs="宋体"/>
                <w:color w:val="424242"/>
                <w:sz w:val="24"/>
                <w:szCs w:val="24"/>
              </w:rPr>
            </w:pPr>
            <w:r>
              <w:rPr>
                <w:rFonts w:hint="eastAsia" w:ascii="宋体" w:hAnsi="宋体" w:eastAsia="宋体" w:cs="宋体"/>
                <w:color w:val="424242"/>
                <w:sz w:val="24"/>
                <w:szCs w:val="24"/>
              </w:rPr>
              <w:t>　　</w:t>
            </w:r>
            <w:r>
              <w:rPr>
                <w:rStyle w:val="8"/>
                <w:rFonts w:hint="eastAsia" w:ascii="宋体" w:hAnsi="宋体" w:eastAsia="宋体" w:cs="宋体"/>
                <w:color w:val="424242"/>
                <w:sz w:val="24"/>
                <w:szCs w:val="24"/>
              </w:rPr>
              <w:t>二级</w:t>
            </w:r>
          </w:p>
        </w:tc>
        <w:tc>
          <w:tcPr>
            <w:tcW w:w="309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hAnsi="宋体" w:eastAsia="宋体" w:cs="宋体"/>
                <w:sz w:val="24"/>
                <w:szCs w:val="24"/>
              </w:rPr>
            </w:pPr>
          </w:p>
        </w:tc>
        <w:tc>
          <w:tcPr>
            <w:tcW w:w="196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w:t>
            </w:r>
          </w:p>
        </w:tc>
        <w:tc>
          <w:tcPr>
            <w:tcW w:w="1571"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机构</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领导分工</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领导分工</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lang w:eastAsia="zh-CN"/>
              </w:rPr>
            </w:pPr>
            <w:r>
              <w:rPr>
                <w:rFonts w:hint="eastAsia" w:ascii="仿宋" w:hAnsi="仿宋" w:eastAsia="仿宋" w:cs="仿宋"/>
                <w:color w:val="424242"/>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2</w:t>
            </w:r>
          </w:p>
        </w:tc>
        <w:tc>
          <w:tcPr>
            <w:tcW w:w="157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仿宋" w:hAnsi="仿宋" w:eastAsia="仿宋" w:cs="仿宋"/>
                <w:sz w:val="24"/>
                <w:szCs w:val="24"/>
              </w:rPr>
            </w:pP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机构职能</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局主要职责</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3</w:t>
            </w:r>
          </w:p>
        </w:tc>
        <w:tc>
          <w:tcPr>
            <w:tcW w:w="157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仿宋" w:hAnsi="仿宋" w:eastAsia="仿宋" w:cs="仿宋"/>
                <w:sz w:val="24"/>
                <w:szCs w:val="24"/>
              </w:rPr>
            </w:pP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内设机构</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局机构设置及科室职能</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4</w:t>
            </w:r>
          </w:p>
        </w:tc>
        <w:tc>
          <w:tcPr>
            <w:tcW w:w="1571"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政府信息公开</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公开指南</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局信息公开工作机构名称、办公地址、办公时间、联系方式；接收信息公开申请的方式、途径等</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5</w:t>
            </w:r>
          </w:p>
        </w:tc>
        <w:tc>
          <w:tcPr>
            <w:tcW w:w="157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仿宋" w:hAnsi="仿宋" w:eastAsia="仿宋" w:cs="仿宋"/>
                <w:sz w:val="24"/>
                <w:szCs w:val="24"/>
              </w:rPr>
            </w:pP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公开目录</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局政府信息公开目录内容</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6</w:t>
            </w:r>
          </w:p>
        </w:tc>
        <w:tc>
          <w:tcPr>
            <w:tcW w:w="157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仿宋" w:hAnsi="仿宋" w:eastAsia="仿宋" w:cs="仿宋"/>
                <w:sz w:val="24"/>
                <w:szCs w:val="24"/>
              </w:rPr>
            </w:pP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公开报告</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局政府信息公开年度报告</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7</w:t>
            </w:r>
          </w:p>
        </w:tc>
        <w:tc>
          <w:tcPr>
            <w:tcW w:w="157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仿宋" w:hAnsi="仿宋" w:eastAsia="仿宋" w:cs="仿宋"/>
                <w:sz w:val="24"/>
                <w:szCs w:val="24"/>
              </w:rPr>
            </w:pP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依申请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公开</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区</w:t>
            </w:r>
            <w:r>
              <w:rPr>
                <w:rFonts w:hint="eastAsia" w:ascii="仿宋" w:hAnsi="仿宋" w:eastAsia="仿宋" w:cs="仿宋"/>
                <w:color w:val="424242"/>
                <w:sz w:val="24"/>
                <w:szCs w:val="24"/>
              </w:rPr>
              <w:t>政府信息依申请公开服务指南</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8</w:t>
            </w:r>
          </w:p>
        </w:tc>
        <w:tc>
          <w:tcPr>
            <w:tcW w:w="1571"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动态</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政务动态</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榕城</w:t>
            </w:r>
            <w:r>
              <w:rPr>
                <w:rFonts w:hint="eastAsia" w:ascii="仿宋" w:hAnsi="仿宋" w:eastAsia="仿宋" w:cs="仿宋"/>
                <w:color w:val="424242"/>
                <w:sz w:val="24"/>
                <w:szCs w:val="24"/>
              </w:rPr>
              <w:t>教育动态</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各</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9</w:t>
            </w:r>
          </w:p>
        </w:tc>
        <w:tc>
          <w:tcPr>
            <w:tcW w:w="157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仿宋" w:hAnsi="仿宋" w:eastAsia="仿宋" w:cs="仿宋"/>
                <w:sz w:val="24"/>
                <w:szCs w:val="24"/>
              </w:rPr>
            </w:pP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规划计划</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榕城</w:t>
            </w:r>
            <w:r>
              <w:rPr>
                <w:rFonts w:hint="eastAsia" w:ascii="仿宋" w:hAnsi="仿宋" w:eastAsia="仿宋" w:cs="仿宋"/>
                <w:color w:val="424242"/>
                <w:sz w:val="24"/>
                <w:szCs w:val="24"/>
              </w:rPr>
              <w:t>教育规划、每月工作安排</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各</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10</w:t>
            </w:r>
          </w:p>
        </w:tc>
        <w:tc>
          <w:tcPr>
            <w:tcW w:w="1571"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文件</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教育政策文件</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地方的教育政策、文件</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各</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11</w:t>
            </w:r>
          </w:p>
        </w:tc>
        <w:tc>
          <w:tcPr>
            <w:tcW w:w="157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仿宋" w:hAnsi="仿宋" w:eastAsia="仿宋" w:cs="仿宋"/>
                <w:sz w:val="24"/>
                <w:szCs w:val="24"/>
              </w:rPr>
            </w:pP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规范性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文件</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文件名称、文号、正文、发布机构、发布时间</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督导室</w:t>
            </w:r>
            <w:r>
              <w:rPr>
                <w:rFonts w:hint="eastAsia" w:ascii="仿宋" w:hAnsi="仿宋" w:eastAsia="仿宋" w:cs="仿宋"/>
                <w:color w:val="424242"/>
                <w:sz w:val="24"/>
                <w:szCs w:val="24"/>
                <w:lang w:eastAsia="zh-CN"/>
              </w:rPr>
              <w:t>（</w:t>
            </w:r>
            <w:r>
              <w:rPr>
                <w:rFonts w:hint="eastAsia" w:ascii="仿宋" w:hAnsi="仿宋" w:eastAsia="仿宋" w:cs="仿宋"/>
                <w:color w:val="424242"/>
                <w:sz w:val="24"/>
                <w:szCs w:val="24"/>
              </w:rPr>
              <w:t>政策法规</w:t>
            </w:r>
            <w:r>
              <w:rPr>
                <w:rFonts w:hint="eastAsia" w:ascii="仿宋" w:hAnsi="仿宋" w:eastAsia="仿宋" w:cs="仿宋"/>
                <w:color w:val="424242"/>
                <w:sz w:val="24"/>
                <w:szCs w:val="24"/>
                <w:lang w:eastAsia="zh-CN"/>
              </w:rPr>
              <w:t>）</w:t>
            </w:r>
            <w:r>
              <w:rPr>
                <w:rFonts w:hint="eastAsia" w:ascii="仿宋" w:hAnsi="仿宋" w:eastAsia="仿宋" w:cs="仿宋"/>
                <w:color w:val="424242"/>
                <w:sz w:val="24"/>
                <w:szCs w:val="24"/>
              </w:rPr>
              <w:t>、相关业务</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12</w:t>
            </w:r>
          </w:p>
        </w:tc>
        <w:tc>
          <w:tcPr>
            <w:tcW w:w="157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解读</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sz w:val="24"/>
                <w:szCs w:val="24"/>
              </w:rPr>
            </w:pP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解读文件名称、解读内容、解读机构、解读时间、回应关切等</w:t>
            </w:r>
            <w:bookmarkStart w:id="0" w:name="_GoBack"/>
            <w:bookmarkEnd w:id="0"/>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各</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13</w:t>
            </w:r>
          </w:p>
        </w:tc>
        <w:tc>
          <w:tcPr>
            <w:tcW w:w="157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新闻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发布</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sz w:val="24"/>
                <w:szCs w:val="24"/>
              </w:rPr>
            </w:pP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教育局新闻发布事项</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办公室、相关业务</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14</w:t>
            </w:r>
          </w:p>
        </w:tc>
        <w:tc>
          <w:tcPr>
            <w:tcW w:w="157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回应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互动</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咨询</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公开纯业务咨询的问题</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相关业务</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15</w:t>
            </w:r>
          </w:p>
        </w:tc>
        <w:tc>
          <w:tcPr>
            <w:tcW w:w="157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权责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清单</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sz w:val="24"/>
                <w:szCs w:val="24"/>
              </w:rPr>
            </w:pP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教育局权责清单</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lang w:eastAsia="zh-CN"/>
              </w:rPr>
            </w:pPr>
            <w:r>
              <w:rPr>
                <w:rFonts w:hint="eastAsia" w:ascii="仿宋" w:hAnsi="仿宋" w:eastAsia="仿宋" w:cs="仿宋"/>
                <w:color w:val="424242"/>
                <w:sz w:val="24"/>
                <w:szCs w:val="24"/>
                <w:lang w:val="en-US" w:eastAsia="zh-CN"/>
              </w:rPr>
              <w:t>督导室（</w:t>
            </w:r>
            <w:r>
              <w:rPr>
                <w:rFonts w:hint="eastAsia" w:ascii="仿宋" w:hAnsi="仿宋" w:eastAsia="仿宋" w:cs="仿宋"/>
                <w:color w:val="424242"/>
                <w:sz w:val="24"/>
                <w:szCs w:val="24"/>
              </w:rPr>
              <w:t>政策法规</w:t>
            </w:r>
            <w:r>
              <w:rPr>
                <w:rFonts w:hint="eastAsia" w:ascii="仿宋" w:hAnsi="仿宋" w:eastAsia="仿宋" w:cs="仿宋"/>
                <w:color w:val="424242"/>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16</w:t>
            </w:r>
          </w:p>
        </w:tc>
        <w:tc>
          <w:tcPr>
            <w:tcW w:w="157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财务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管理</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财政预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决算</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年度财政决算、预算信息、政府采购信息</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lang w:eastAsia="zh-CN"/>
              </w:rPr>
            </w:pPr>
            <w:r>
              <w:rPr>
                <w:rFonts w:hint="eastAsia" w:ascii="仿宋" w:hAnsi="仿宋" w:eastAsia="仿宋" w:cs="仿宋"/>
                <w:color w:val="424242"/>
                <w:sz w:val="24"/>
                <w:szCs w:val="24"/>
                <w:lang w:val="en-US" w:eastAsia="zh-CN"/>
              </w:rPr>
              <w:t>计财股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17</w:t>
            </w:r>
          </w:p>
        </w:tc>
        <w:tc>
          <w:tcPr>
            <w:tcW w:w="1571"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行政</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执法</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行政许可</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行政许可事项、行政许可结果</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督导室（</w:t>
            </w:r>
            <w:r>
              <w:rPr>
                <w:rFonts w:hint="eastAsia" w:ascii="仿宋" w:hAnsi="仿宋" w:eastAsia="仿宋" w:cs="仿宋"/>
                <w:color w:val="424242"/>
                <w:sz w:val="24"/>
                <w:szCs w:val="24"/>
              </w:rPr>
              <w:t>政策法规</w:t>
            </w:r>
            <w:r>
              <w:rPr>
                <w:rFonts w:hint="eastAsia" w:ascii="仿宋" w:hAnsi="仿宋" w:eastAsia="仿宋" w:cs="仿宋"/>
                <w:color w:val="424242"/>
                <w:sz w:val="24"/>
                <w:szCs w:val="24"/>
                <w:lang w:eastAsia="zh-CN"/>
              </w:rPr>
              <w:t>）</w:t>
            </w:r>
            <w:r>
              <w:rPr>
                <w:rFonts w:hint="eastAsia" w:ascii="仿宋" w:hAnsi="仿宋" w:eastAsia="仿宋" w:cs="仿宋"/>
                <w:color w:val="424242"/>
                <w:sz w:val="24"/>
                <w:szCs w:val="24"/>
              </w:rPr>
              <w:t>、相关业务</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18</w:t>
            </w:r>
          </w:p>
        </w:tc>
        <w:tc>
          <w:tcPr>
            <w:tcW w:w="1571"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jc w:val="center"/>
              <w:rPr>
                <w:rFonts w:hint="eastAsia" w:ascii="仿宋" w:hAnsi="仿宋" w:eastAsia="仿宋" w:cs="仿宋"/>
                <w:sz w:val="24"/>
                <w:szCs w:val="24"/>
              </w:rPr>
            </w:pP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行政处罚</w:t>
            </w: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行政处罚事项、行政处罚结果</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督导室（</w:t>
            </w:r>
            <w:r>
              <w:rPr>
                <w:rFonts w:hint="eastAsia" w:ascii="仿宋" w:hAnsi="仿宋" w:eastAsia="仿宋" w:cs="仿宋"/>
                <w:color w:val="424242"/>
                <w:sz w:val="24"/>
                <w:szCs w:val="24"/>
              </w:rPr>
              <w:t>政策法规</w:t>
            </w:r>
            <w:r>
              <w:rPr>
                <w:rFonts w:hint="eastAsia" w:ascii="仿宋" w:hAnsi="仿宋" w:eastAsia="仿宋" w:cs="仿宋"/>
                <w:color w:val="424242"/>
                <w:sz w:val="24"/>
                <w:szCs w:val="24"/>
                <w:lang w:eastAsia="zh-CN"/>
              </w:rPr>
              <w:t>）</w:t>
            </w:r>
            <w:r>
              <w:rPr>
                <w:rFonts w:hint="eastAsia" w:ascii="仿宋" w:hAnsi="仿宋" w:eastAsia="仿宋" w:cs="仿宋"/>
                <w:color w:val="424242"/>
                <w:sz w:val="24"/>
                <w:szCs w:val="24"/>
              </w:rPr>
              <w:t>、相关业务</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19</w:t>
            </w:r>
          </w:p>
        </w:tc>
        <w:tc>
          <w:tcPr>
            <w:tcW w:w="157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人大代表建议和政协提案办理情况</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sz w:val="24"/>
                <w:szCs w:val="24"/>
              </w:rPr>
            </w:pP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人大代表建议和政协提案办理复文</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lang w:val="en-US" w:eastAsia="zh-CN"/>
              </w:rPr>
              <w:t>办公</w:t>
            </w:r>
            <w:r>
              <w:rPr>
                <w:rFonts w:hint="eastAsia" w:ascii="仿宋" w:hAnsi="仿宋" w:eastAsia="仿宋" w:cs="仿宋"/>
                <w:color w:val="424242"/>
                <w:sz w:val="24"/>
                <w:szCs w:val="24"/>
              </w:rPr>
              <w:t>室、相关业务</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20</w:t>
            </w:r>
          </w:p>
        </w:tc>
        <w:tc>
          <w:tcPr>
            <w:tcW w:w="157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信息</w:t>
            </w:r>
          </w:p>
        </w:tc>
        <w:tc>
          <w:tcPr>
            <w:tcW w:w="15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jc w:val="center"/>
              <w:textAlignment w:val="center"/>
              <w:rPr>
                <w:rFonts w:hint="eastAsia" w:ascii="仿宋" w:hAnsi="仿宋" w:eastAsia="仿宋" w:cs="仿宋"/>
                <w:sz w:val="24"/>
                <w:szCs w:val="24"/>
              </w:rPr>
            </w:pPr>
          </w:p>
        </w:tc>
        <w:tc>
          <w:tcPr>
            <w:tcW w:w="30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重大决策文件公开征求意见</w:t>
            </w:r>
          </w:p>
        </w:tc>
        <w:tc>
          <w:tcPr>
            <w:tcW w:w="196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仿宋" w:hAnsi="仿宋" w:eastAsia="仿宋" w:cs="仿宋"/>
                <w:color w:val="424242"/>
                <w:sz w:val="24"/>
                <w:szCs w:val="24"/>
              </w:rPr>
            </w:pPr>
            <w:r>
              <w:rPr>
                <w:rFonts w:hint="eastAsia" w:ascii="仿宋" w:hAnsi="仿宋" w:eastAsia="仿宋" w:cs="仿宋"/>
                <w:color w:val="424242"/>
                <w:sz w:val="24"/>
                <w:szCs w:val="24"/>
              </w:rPr>
              <w:t>相关业务</w:t>
            </w:r>
            <w:r>
              <w:rPr>
                <w:rFonts w:hint="eastAsia" w:ascii="仿宋" w:hAnsi="仿宋" w:eastAsia="仿宋" w:cs="仿宋"/>
                <w:color w:val="424242"/>
                <w:sz w:val="24"/>
                <w:szCs w:val="24"/>
                <w:lang w:val="en-US" w:eastAsia="zh-CN"/>
              </w:rPr>
              <w:t>股</w:t>
            </w:r>
            <w:r>
              <w:rPr>
                <w:rFonts w:hint="eastAsia" w:ascii="仿宋" w:hAnsi="仿宋" w:eastAsia="仿宋" w:cs="仿宋"/>
                <w:color w:val="424242"/>
                <w:sz w:val="24"/>
                <w:szCs w:val="24"/>
              </w:rPr>
              <w:t>室</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42DAA"/>
    <w:rsid w:val="0ED42DAA"/>
    <w:rsid w:val="2B312799"/>
    <w:rsid w:val="4C744335"/>
    <w:rsid w:val="5C8A0DC8"/>
    <w:rsid w:val="790C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2021-11-24T01:14:00Z</dcterms:created>
  <dc:creator>佘雄周</dc:creator>
  <cp:lastModifiedBy>佘雄周</cp:lastModifiedBy>
  <cp:lastPrinted>2021-11-25T01:33:43Z</cp:lastPrinted>
  <dcterms:modified xsi:type="dcterms:W3CDTF">2021-11-25T01:45:34Z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1EE5604C8CE74A04B07EA04E23A7A17B</vt:lpwstr>
  </property>
</Properties>
</file>