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pacing w:val="-2"/>
          <w:sz w:val="32"/>
          <w:szCs w:val="32"/>
        </w:rPr>
      </w:pPr>
      <w:r>
        <w:rPr>
          <w:rFonts w:hint="eastAsia" w:ascii="黑体" w:hAnsi="黑体" w:eastAsia="黑体"/>
          <w:spacing w:val="-2"/>
          <w:sz w:val="32"/>
          <w:szCs w:val="32"/>
        </w:rPr>
        <w:t>附件</w:t>
      </w:r>
    </w:p>
    <w:p>
      <w:pPr>
        <w:spacing w:line="520" w:lineRule="exact"/>
        <w:jc w:val="center"/>
        <w:rPr>
          <w:rFonts w:hint="eastAsia" w:ascii="方正小标宋简体" w:eastAsia="方正小标宋简体"/>
          <w:spacing w:val="-2"/>
          <w:sz w:val="42"/>
          <w:szCs w:val="42"/>
        </w:rPr>
      </w:pPr>
      <w:r>
        <w:rPr>
          <w:rFonts w:hint="eastAsia" w:ascii="方正小标宋简体" w:eastAsia="方正小标宋简体"/>
          <w:spacing w:val="-2"/>
          <w:sz w:val="42"/>
          <w:szCs w:val="42"/>
        </w:rPr>
        <w:t>揭阳市巩固国家卫生城市榕城区工作任务分解表</w:t>
      </w:r>
    </w:p>
    <w:tbl>
      <w:tblPr>
        <w:tblStyle w:val="4"/>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11"/>
        <w:gridCol w:w="3795"/>
        <w:gridCol w:w="1785"/>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817" w:type="dxa"/>
            <w:noWrap w:val="0"/>
            <w:vAlign w:val="center"/>
          </w:tcPr>
          <w:p>
            <w:pPr>
              <w:spacing w:line="320" w:lineRule="exact"/>
              <w:jc w:val="center"/>
              <w:textAlignment w:val="center"/>
              <w:rPr>
                <w:rFonts w:ascii="宋体" w:hAnsi="宋体" w:cs="仿宋_GB2312"/>
                <w:b/>
                <w:bCs/>
                <w:color w:val="000000"/>
                <w:kern w:val="0"/>
                <w:szCs w:val="21"/>
              </w:rPr>
            </w:pPr>
            <w:r>
              <w:rPr>
                <w:rFonts w:hint="eastAsia" w:ascii="宋体" w:hAnsi="宋体" w:cs="仿宋_GB2312"/>
                <w:b/>
                <w:bCs/>
                <w:color w:val="000000"/>
                <w:kern w:val="0"/>
                <w:szCs w:val="21"/>
              </w:rPr>
              <w:t>项目</w:t>
            </w:r>
          </w:p>
        </w:tc>
        <w:tc>
          <w:tcPr>
            <w:tcW w:w="3611" w:type="dxa"/>
            <w:noWrap w:val="0"/>
            <w:vAlign w:val="center"/>
          </w:tcPr>
          <w:p>
            <w:pPr>
              <w:spacing w:line="320" w:lineRule="exact"/>
              <w:jc w:val="center"/>
              <w:textAlignment w:val="center"/>
              <w:rPr>
                <w:rFonts w:ascii="宋体" w:hAnsi="宋体"/>
                <w:szCs w:val="21"/>
              </w:rPr>
            </w:pPr>
            <w:r>
              <w:rPr>
                <w:rFonts w:hint="eastAsia" w:ascii="宋体" w:hAnsi="宋体" w:cs="仿宋_GB2312"/>
                <w:b/>
                <w:bCs/>
                <w:color w:val="000000"/>
                <w:kern w:val="0"/>
                <w:szCs w:val="21"/>
              </w:rPr>
              <w:t>标准内容</w:t>
            </w:r>
          </w:p>
        </w:tc>
        <w:tc>
          <w:tcPr>
            <w:tcW w:w="3795" w:type="dxa"/>
            <w:noWrap w:val="0"/>
            <w:vAlign w:val="center"/>
          </w:tcPr>
          <w:p>
            <w:pPr>
              <w:spacing w:line="320" w:lineRule="exact"/>
              <w:jc w:val="center"/>
              <w:textAlignment w:val="center"/>
              <w:rPr>
                <w:rFonts w:ascii="宋体" w:hAnsi="宋体"/>
                <w:szCs w:val="21"/>
              </w:rPr>
            </w:pPr>
            <w:r>
              <w:rPr>
                <w:rFonts w:hint="eastAsia" w:ascii="宋体" w:hAnsi="宋体" w:cs="仿宋_GB2312"/>
                <w:b/>
                <w:bCs/>
                <w:color w:val="000000"/>
                <w:kern w:val="0"/>
                <w:szCs w:val="21"/>
              </w:rPr>
              <w:t>内容分解</w:t>
            </w:r>
          </w:p>
        </w:tc>
        <w:tc>
          <w:tcPr>
            <w:tcW w:w="1785" w:type="dxa"/>
            <w:noWrap w:val="0"/>
            <w:vAlign w:val="center"/>
          </w:tcPr>
          <w:p>
            <w:pPr>
              <w:spacing w:line="320" w:lineRule="exact"/>
              <w:jc w:val="center"/>
              <w:textAlignment w:val="center"/>
              <w:rPr>
                <w:rFonts w:ascii="宋体" w:hAnsi="宋体"/>
                <w:szCs w:val="21"/>
              </w:rPr>
            </w:pPr>
            <w:r>
              <w:rPr>
                <w:rFonts w:hint="eastAsia" w:ascii="宋体" w:hAnsi="宋体" w:cs="仿宋_GB2312"/>
                <w:b/>
                <w:bCs/>
                <w:color w:val="000000"/>
                <w:kern w:val="0"/>
                <w:szCs w:val="21"/>
              </w:rPr>
              <w:t>牵头单位</w:t>
            </w:r>
          </w:p>
        </w:tc>
        <w:tc>
          <w:tcPr>
            <w:tcW w:w="2340" w:type="dxa"/>
            <w:noWrap w:val="0"/>
            <w:vAlign w:val="center"/>
          </w:tcPr>
          <w:p>
            <w:pPr>
              <w:spacing w:line="320" w:lineRule="exact"/>
              <w:jc w:val="center"/>
              <w:textAlignment w:val="center"/>
              <w:rPr>
                <w:rFonts w:ascii="宋体" w:hAnsi="宋体"/>
                <w:szCs w:val="21"/>
              </w:rPr>
            </w:pPr>
            <w:r>
              <w:rPr>
                <w:rFonts w:hint="eastAsia" w:ascii="宋体" w:hAnsi="宋体" w:cs="仿宋_GB2312"/>
                <w:b/>
                <w:bCs/>
                <w:color w:val="000000"/>
                <w:kern w:val="0"/>
                <w:szCs w:val="21"/>
              </w:rPr>
              <w:t>责任单位</w:t>
            </w:r>
          </w:p>
        </w:tc>
        <w:tc>
          <w:tcPr>
            <w:tcW w:w="1980" w:type="dxa"/>
            <w:noWrap w:val="0"/>
            <w:vAlign w:val="center"/>
          </w:tcPr>
          <w:p>
            <w:pPr>
              <w:spacing w:line="320" w:lineRule="exact"/>
              <w:jc w:val="center"/>
              <w:textAlignment w:val="center"/>
              <w:rPr>
                <w:rFonts w:ascii="宋体" w:hAnsi="宋体"/>
                <w:szCs w:val="21"/>
              </w:rPr>
            </w:pPr>
            <w:r>
              <w:rPr>
                <w:rFonts w:hint="eastAsia" w:ascii="宋体" w:hAnsi="宋体" w:cs="仿宋_GB2312"/>
                <w:b/>
                <w:bCs/>
                <w:color w:val="000000"/>
                <w:kern w:val="0"/>
                <w:szCs w:val="21"/>
              </w:rPr>
              <w:t>重要指标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一、</w:t>
            </w:r>
          </w:p>
          <w:p>
            <w:pPr>
              <w:jc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爱国卫生组织管理</w:t>
            </w:r>
          </w:p>
        </w:tc>
        <w:tc>
          <w:tcPr>
            <w:tcW w:w="3611"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（一）将爱国卫生工作纳入辖区各级党委和政府议事日程，列入社会经济发展规划，具有立法权的地方应当制定本地的爱国卫生法规，其他地方党委或政府应当制定规范性文件。</w:t>
            </w: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1.</w:t>
            </w:r>
            <w:r>
              <w:rPr>
                <w:rFonts w:hint="eastAsia" w:ascii="宋体" w:hAnsi="宋体" w:cs="仿宋_GB2312"/>
                <w:color w:val="000000"/>
                <w:kern w:val="0"/>
                <w:szCs w:val="21"/>
              </w:rPr>
              <w:t>将爱国卫生工作纳入辖区各级党委和政府议事日程。</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区委办公室、区政府办公室</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各级党委（党工委）和政府（办事处）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2.</w:t>
            </w:r>
            <w:r>
              <w:rPr>
                <w:rFonts w:hint="eastAsia" w:ascii="宋体" w:hAnsi="宋体" w:cs="仿宋_GB2312"/>
                <w:color w:val="000000"/>
                <w:kern w:val="0"/>
                <w:szCs w:val="21"/>
              </w:rPr>
              <w:t>将爱国卫生工作列入社会经济发展规划。</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区发展改革局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区发展改革局</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3.</w:t>
            </w:r>
            <w:r>
              <w:rPr>
                <w:rFonts w:hint="eastAsia" w:ascii="宋体" w:hAnsi="宋体" w:cs="仿宋_GB2312"/>
                <w:color w:val="000000"/>
                <w:kern w:val="0"/>
                <w:szCs w:val="21"/>
              </w:rPr>
              <w:t>具有立法权的地方应当制定本地的爱国卫生法规，其他地方党委或政府应当制定规范性文件。</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区爱卫办</w:t>
            </w:r>
          </w:p>
        </w:tc>
        <w:tc>
          <w:tcPr>
            <w:tcW w:w="2340" w:type="dxa"/>
            <w:noWrap w:val="0"/>
            <w:vAlign w:val="center"/>
          </w:tcPr>
          <w:p>
            <w:pPr>
              <w:spacing w:line="320" w:lineRule="exact"/>
              <w:jc w:val="center"/>
              <w:textAlignment w:val="center"/>
              <w:rPr>
                <w:rFonts w:ascii="宋体" w:hAnsi="宋体" w:cs="仿宋_GB2312"/>
                <w:spacing w:val="-4"/>
                <w:szCs w:val="21"/>
              </w:rPr>
            </w:pPr>
            <w:r>
              <w:rPr>
                <w:rFonts w:hint="eastAsia" w:ascii="宋体" w:hAnsi="宋体" w:cs="仿宋_GB2312"/>
                <w:spacing w:val="-4"/>
                <w:kern w:val="0"/>
                <w:szCs w:val="21"/>
              </w:rPr>
              <w:t>区人大常委会法工委、</w:t>
            </w:r>
            <w:r>
              <w:rPr>
                <w:rFonts w:hint="eastAsia" w:ascii="宋体" w:hAnsi="宋体" w:cs="仿宋_GB2312"/>
                <w:color w:val="000000"/>
                <w:spacing w:val="-4"/>
                <w:kern w:val="0"/>
                <w:szCs w:val="21"/>
              </w:rPr>
              <w:t>各级党委（党工委）和政府</w:t>
            </w:r>
            <w:r>
              <w:rPr>
                <w:rFonts w:hint="eastAsia" w:ascii="宋体" w:hAnsi="宋体" w:cs="仿宋_GB2312"/>
                <w:color w:val="000000"/>
                <w:kern w:val="0"/>
                <w:szCs w:val="21"/>
              </w:rPr>
              <w:t>（办事处）、区司法局、区爱卫会各成员单位</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二）辖区内各级爱卫会组织健全，成员单位分工明确、职责落实。爱卫会办公室人员配置合理，工作经费按规定纳入财政预算。街道办事处及乡镇政府明确专兼职爱国卫生工作人员，社区居委会及村委会协助做好爱国卫生工作。</w:t>
            </w: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1.</w:t>
            </w:r>
            <w:r>
              <w:rPr>
                <w:rFonts w:hint="eastAsia" w:ascii="宋体" w:hAnsi="宋体" w:cs="仿宋_GB2312"/>
                <w:color w:val="000000"/>
                <w:kern w:val="0"/>
                <w:szCs w:val="21"/>
              </w:rPr>
              <w:t>辖区内各级爱卫会组织健全。</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各级党委（党工委）和</w:t>
            </w:r>
            <w:r>
              <w:rPr>
                <w:rFonts w:hint="eastAsia" w:ascii="宋体" w:hAnsi="宋体" w:cs="仿宋_GB2312"/>
                <w:szCs w:val="21"/>
              </w:rPr>
              <w:t>政府（办事处）</w:t>
            </w:r>
          </w:p>
        </w:tc>
        <w:tc>
          <w:tcPr>
            <w:tcW w:w="2340" w:type="dxa"/>
            <w:noWrap w:val="0"/>
            <w:vAlign w:val="center"/>
          </w:tcPr>
          <w:p>
            <w:pPr>
              <w:spacing w:line="320" w:lineRule="exact"/>
              <w:jc w:val="center"/>
              <w:textAlignment w:val="center"/>
              <w:rPr>
                <w:rFonts w:ascii="宋体" w:hAnsi="宋体" w:cs="仿宋_GB2312"/>
                <w:szCs w:val="21"/>
              </w:rPr>
            </w:pPr>
          </w:p>
        </w:tc>
        <w:tc>
          <w:tcPr>
            <w:tcW w:w="1980" w:type="dxa"/>
            <w:noWrap w:val="0"/>
            <w:vAlign w:val="center"/>
          </w:tcPr>
          <w:p>
            <w:pPr>
              <w:spacing w:line="32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2.</w:t>
            </w:r>
            <w:r>
              <w:rPr>
                <w:rFonts w:hint="eastAsia" w:ascii="宋体" w:hAnsi="宋体" w:cs="仿宋_GB2312"/>
                <w:color w:val="000000"/>
                <w:kern w:val="0"/>
                <w:szCs w:val="21"/>
              </w:rPr>
              <w:t>爱卫会成员单位分工明确、职责落实。</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区爱卫办</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区爱卫会各成员单位，各镇（街道）政府（办事处）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3.</w:t>
            </w:r>
            <w:r>
              <w:rPr>
                <w:rFonts w:hint="eastAsia" w:ascii="宋体" w:hAnsi="宋体" w:cs="仿宋_GB2312"/>
                <w:color w:val="000000"/>
                <w:kern w:val="0"/>
                <w:szCs w:val="21"/>
              </w:rPr>
              <w:t>爱卫会办公室人员配置合理。</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textAlignment w:val="center"/>
              <w:rPr>
                <w:rFonts w:ascii="宋体" w:hAnsi="宋体" w:cs="仿宋_GB2312"/>
                <w:szCs w:val="21"/>
              </w:rPr>
            </w:pPr>
          </w:p>
        </w:tc>
        <w:tc>
          <w:tcPr>
            <w:tcW w:w="1980" w:type="dxa"/>
            <w:noWrap w:val="0"/>
            <w:vAlign w:val="center"/>
          </w:tcPr>
          <w:p>
            <w:pPr>
              <w:spacing w:line="32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4.</w:t>
            </w:r>
            <w:r>
              <w:rPr>
                <w:rFonts w:hint="eastAsia" w:ascii="宋体" w:hAnsi="宋体" w:cs="仿宋_GB2312"/>
                <w:color w:val="000000"/>
                <w:kern w:val="0"/>
                <w:szCs w:val="21"/>
              </w:rPr>
              <w:t>工作经费按规定纳入财政预算。</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区财政局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color w:val="000000"/>
                <w:kern w:val="0"/>
                <w:szCs w:val="21"/>
              </w:rPr>
              <w:t>5.</w:t>
            </w:r>
            <w:r>
              <w:rPr>
                <w:rFonts w:hint="eastAsia" w:ascii="宋体" w:hAnsi="宋体" w:cs="仿宋_GB2312"/>
                <w:color w:val="000000"/>
                <w:kern w:val="0"/>
                <w:szCs w:val="21"/>
              </w:rPr>
              <w:t>街道办事处及镇政府明确专兼职爱国卫生工作人员，社区居委会及村委会协助做好爱国卫生工作。</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各镇（街道）党（工）委和政府（办事处）</w:t>
            </w:r>
          </w:p>
        </w:tc>
        <w:tc>
          <w:tcPr>
            <w:tcW w:w="2340" w:type="dxa"/>
            <w:noWrap w:val="0"/>
            <w:vAlign w:val="center"/>
          </w:tcPr>
          <w:p>
            <w:pPr>
              <w:spacing w:line="320" w:lineRule="exact"/>
              <w:jc w:val="center"/>
              <w:rPr>
                <w:rFonts w:ascii="宋体" w:hAnsi="宋体" w:cs="仿宋_GB2312"/>
                <w:szCs w:val="21"/>
              </w:rPr>
            </w:pP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一、</w:t>
            </w:r>
          </w:p>
          <w:p>
            <w:pPr>
              <w:jc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爱国卫生组织管理</w:t>
            </w:r>
          </w:p>
        </w:tc>
        <w:tc>
          <w:tcPr>
            <w:tcW w:w="3611"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（三）爱国卫生工作年度有计划、有部署、有检查、有总结。开展卫生乡镇、卫生街道、卫生社区、卫生村、卫生单位等创建活动。申请国家卫生城市的，其所辖县（市）的国家卫生县比例不少于</w:t>
            </w:r>
            <w:r>
              <w:rPr>
                <w:rFonts w:ascii="宋体" w:hAnsi="宋体" w:cs="仿宋_GB2312"/>
                <w:color w:val="000000"/>
                <w:kern w:val="0"/>
                <w:szCs w:val="21"/>
              </w:rPr>
              <w:t>30%</w:t>
            </w:r>
            <w:r>
              <w:rPr>
                <w:rFonts w:hint="eastAsia" w:ascii="宋体" w:hAnsi="宋体" w:cs="仿宋_GB2312"/>
                <w:color w:val="000000"/>
                <w:kern w:val="0"/>
                <w:szCs w:val="21"/>
              </w:rPr>
              <w:t>；申请国家卫生县的，其所辖乡镇的省级卫生乡镇比例不少于</w:t>
            </w:r>
            <w:r>
              <w:rPr>
                <w:rFonts w:ascii="宋体" w:hAnsi="宋体" w:cs="仿宋_GB2312"/>
                <w:color w:val="000000"/>
                <w:kern w:val="0"/>
                <w:szCs w:val="21"/>
              </w:rPr>
              <w:t>30%</w:t>
            </w:r>
            <w:r>
              <w:rPr>
                <w:rFonts w:hint="eastAsia" w:ascii="宋体" w:hAnsi="宋体" w:cs="仿宋_GB2312"/>
                <w:color w:val="000000"/>
                <w:kern w:val="0"/>
                <w:szCs w:val="21"/>
              </w:rPr>
              <w:t>。在城乡广泛开展爱国卫生活动，各部门、各单位和广大群众积极参与。</w:t>
            </w:r>
          </w:p>
        </w:tc>
        <w:tc>
          <w:tcPr>
            <w:tcW w:w="3795" w:type="dxa"/>
            <w:noWrap w:val="0"/>
            <w:vAlign w:val="center"/>
          </w:tcPr>
          <w:p>
            <w:pPr>
              <w:spacing w:line="320" w:lineRule="exact"/>
              <w:textAlignment w:val="center"/>
              <w:rPr>
                <w:rFonts w:ascii="宋体" w:hAnsi="宋体" w:cs="仿宋_GB2312"/>
                <w:color w:val="000000"/>
                <w:kern w:val="0"/>
                <w:szCs w:val="21"/>
              </w:rPr>
            </w:pPr>
            <w:r>
              <w:rPr>
                <w:rFonts w:ascii="宋体" w:hAnsi="宋体" w:cs="仿宋_GB2312"/>
                <w:color w:val="000000"/>
                <w:kern w:val="0"/>
                <w:szCs w:val="21"/>
              </w:rPr>
              <w:t>1.</w:t>
            </w:r>
            <w:r>
              <w:rPr>
                <w:rFonts w:hint="eastAsia" w:ascii="宋体" w:hAnsi="宋体" w:cs="仿宋_GB2312"/>
                <w:color w:val="000000"/>
                <w:kern w:val="0"/>
                <w:szCs w:val="21"/>
              </w:rPr>
              <w:t>爱国卫生工作年度有计划、有部署、有检查、有总结。</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区爱卫会</w:t>
            </w:r>
          </w:p>
        </w:tc>
        <w:tc>
          <w:tcPr>
            <w:tcW w:w="2340"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区爱卫会各成员单位</w:t>
            </w:r>
          </w:p>
        </w:tc>
        <w:tc>
          <w:tcPr>
            <w:tcW w:w="1980"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申请国家卫生城市的，其所辖县（市）的国家卫生县比例不少于</w:t>
            </w:r>
            <w:r>
              <w:rPr>
                <w:rFonts w:ascii="宋体" w:hAnsi="宋体" w:cs="仿宋_GB2312"/>
                <w:color w:val="000000"/>
                <w:kern w:val="0"/>
                <w:szCs w:val="21"/>
              </w:rPr>
              <w:t>30%</w:t>
            </w:r>
            <w:r>
              <w:rPr>
                <w:rFonts w:hint="eastAsia" w:ascii="宋体" w:hAnsi="宋体" w:cs="仿宋_GB2312"/>
                <w:color w:val="000000"/>
                <w:kern w:val="0"/>
                <w:szCs w:val="21"/>
              </w:rPr>
              <w:t>；申请国家卫生县的，其所辖乡镇的省级卫生乡镇比例不少于</w:t>
            </w:r>
            <w:r>
              <w:rPr>
                <w:rFonts w:ascii="宋体" w:hAnsi="宋体" w:cs="仿宋_GB2312"/>
                <w:color w:val="000000"/>
                <w:kern w:val="0"/>
                <w:szCs w:val="21"/>
              </w:rPr>
              <w:t>30%</w:t>
            </w:r>
            <w:r>
              <w:rPr>
                <w:rFonts w:hint="eastAsia" w:ascii="宋体" w:hAnsi="宋体" w:cs="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color w:val="000000"/>
                <w:kern w:val="0"/>
                <w:szCs w:val="21"/>
              </w:rPr>
            </w:pPr>
            <w:r>
              <w:rPr>
                <w:rFonts w:ascii="宋体" w:hAnsi="宋体" w:cs="仿宋_GB2312"/>
                <w:color w:val="000000"/>
                <w:kern w:val="0"/>
                <w:szCs w:val="21"/>
              </w:rPr>
              <w:t>2.</w:t>
            </w:r>
            <w:r>
              <w:rPr>
                <w:rFonts w:hint="eastAsia" w:ascii="宋体" w:hAnsi="宋体" w:cs="仿宋_GB2312"/>
                <w:color w:val="000000"/>
                <w:kern w:val="0"/>
                <w:szCs w:val="21"/>
              </w:rPr>
              <w:t>开展卫生乡镇、卫生街道、卫生社区、卫生村、卫生单位等创建活动。</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区爱卫会</w:t>
            </w:r>
          </w:p>
        </w:tc>
        <w:tc>
          <w:tcPr>
            <w:tcW w:w="2340"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kern w:val="0"/>
                <w:szCs w:val="21"/>
              </w:rPr>
              <w:t>各镇（街道）政府（办事处）、各村居（社区）、参与创建单位</w:t>
            </w:r>
          </w:p>
        </w:tc>
        <w:tc>
          <w:tcPr>
            <w:tcW w:w="1980" w:type="dxa"/>
            <w:vMerge w:val="continue"/>
            <w:noWrap w:val="0"/>
            <w:vAlign w:val="center"/>
          </w:tcPr>
          <w:p>
            <w:pPr>
              <w:spacing w:line="32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color w:val="000000"/>
                <w:kern w:val="0"/>
                <w:szCs w:val="21"/>
              </w:rPr>
            </w:pPr>
            <w:r>
              <w:rPr>
                <w:rFonts w:ascii="宋体" w:hAnsi="宋体" w:cs="仿宋_GB2312"/>
                <w:color w:val="000000"/>
                <w:kern w:val="0"/>
                <w:szCs w:val="21"/>
              </w:rPr>
              <w:t>3.</w:t>
            </w:r>
            <w:r>
              <w:rPr>
                <w:rFonts w:hint="eastAsia" w:ascii="宋体" w:hAnsi="宋体" w:cs="仿宋_GB2312"/>
                <w:color w:val="000000"/>
                <w:kern w:val="0"/>
                <w:szCs w:val="21"/>
              </w:rPr>
              <w:t>在城乡广泛开展爱国卫生活动，各部门、各单位和广大群众积极参与。</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区爱卫会</w:t>
            </w:r>
          </w:p>
        </w:tc>
        <w:tc>
          <w:tcPr>
            <w:tcW w:w="2340"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kern w:val="0"/>
                <w:szCs w:val="21"/>
              </w:rPr>
              <w:t>各镇（街道）政府（办事处）</w:t>
            </w:r>
          </w:p>
        </w:tc>
        <w:tc>
          <w:tcPr>
            <w:tcW w:w="1980" w:type="dxa"/>
            <w:vMerge w:val="continue"/>
            <w:noWrap w:val="0"/>
            <w:vAlign w:val="center"/>
          </w:tcPr>
          <w:p>
            <w:pPr>
              <w:spacing w:line="32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（四）建立健康影响评价评估机制，推动将健康融入所有政策，把全生命周期健康管理理念贯穿城市规划、建设和管理全过程各环节。将应对突发公共卫生事件纳入城市空间规划，并逐步建设完善相关设施。</w:t>
            </w:r>
          </w:p>
        </w:tc>
        <w:tc>
          <w:tcPr>
            <w:tcW w:w="3795" w:type="dxa"/>
            <w:noWrap w:val="0"/>
            <w:vAlign w:val="center"/>
          </w:tcPr>
          <w:p>
            <w:pPr>
              <w:spacing w:line="320" w:lineRule="exact"/>
              <w:textAlignment w:val="center"/>
              <w:rPr>
                <w:rFonts w:ascii="宋体" w:hAnsi="宋体" w:cs="仿宋_GB2312"/>
                <w:color w:val="000000"/>
                <w:kern w:val="0"/>
                <w:szCs w:val="21"/>
              </w:rPr>
            </w:pPr>
            <w:r>
              <w:rPr>
                <w:rFonts w:ascii="宋体" w:hAnsi="宋体" w:cs="仿宋_GB2312"/>
                <w:color w:val="000000"/>
                <w:kern w:val="0"/>
                <w:szCs w:val="21"/>
              </w:rPr>
              <w:t>1.</w:t>
            </w:r>
            <w:r>
              <w:rPr>
                <w:rFonts w:hint="eastAsia" w:ascii="宋体" w:hAnsi="宋体" w:cs="仿宋_GB2312"/>
                <w:color w:val="000000"/>
                <w:kern w:val="0"/>
                <w:szCs w:val="21"/>
              </w:rPr>
              <w:t>建立健康影响评价评估机制，推动将健康融入所有政策，把全生命周期健康管理理念贯穿城市规划、建设和管理全过程各环节。</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区自然资源分局、区卫生健康局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szCs w:val="21"/>
              </w:rPr>
            </w:pPr>
          </w:p>
        </w:tc>
        <w:tc>
          <w:tcPr>
            <w:tcW w:w="3795" w:type="dxa"/>
            <w:noWrap w:val="0"/>
            <w:vAlign w:val="center"/>
          </w:tcPr>
          <w:p>
            <w:pPr>
              <w:spacing w:line="320" w:lineRule="exact"/>
              <w:textAlignment w:val="center"/>
              <w:rPr>
                <w:rFonts w:ascii="宋体" w:hAnsi="宋体" w:cs="仿宋_GB2312"/>
                <w:color w:val="000000"/>
                <w:kern w:val="0"/>
                <w:szCs w:val="21"/>
              </w:rPr>
            </w:pPr>
            <w:r>
              <w:rPr>
                <w:rFonts w:ascii="宋体" w:hAnsi="宋体" w:cs="仿宋_GB2312"/>
                <w:color w:val="000000"/>
                <w:kern w:val="0"/>
                <w:szCs w:val="21"/>
              </w:rPr>
              <w:t>2.</w:t>
            </w:r>
            <w:r>
              <w:rPr>
                <w:rFonts w:hint="eastAsia" w:ascii="宋体" w:hAnsi="宋体" w:cs="仿宋_GB2312"/>
                <w:color w:val="000000"/>
                <w:kern w:val="0"/>
                <w:szCs w:val="21"/>
              </w:rPr>
              <w:t>将应对突发公共卫生事件相关设施纳入城市空间规划，并逐步建设完善。</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区自然资源分局、区卫生健康局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szCs w:val="21"/>
              </w:rPr>
            </w:pPr>
            <w:r>
              <w:rPr>
                <w:rFonts w:hint="eastAsia" w:ascii="宋体" w:hAnsi="宋体" w:cs="仿宋_GB2312"/>
                <w:color w:val="000000"/>
                <w:kern w:val="0"/>
                <w:szCs w:val="21"/>
              </w:rPr>
              <w:t>（五）畅通爱国卫生建议与投诉平台，认真核实和解决群众反映的问题。群众对卫生状况满意率≥</w:t>
            </w:r>
            <w:r>
              <w:rPr>
                <w:rFonts w:ascii="宋体" w:hAnsi="宋体" w:cs="仿宋_GB2312"/>
                <w:color w:val="000000"/>
                <w:kern w:val="0"/>
                <w:szCs w:val="21"/>
              </w:rPr>
              <w:t>90%</w:t>
            </w:r>
            <w:r>
              <w:rPr>
                <w:rFonts w:hint="eastAsia" w:ascii="宋体" w:hAnsi="宋体" w:cs="仿宋_GB2312"/>
                <w:color w:val="000000"/>
                <w:kern w:val="0"/>
                <w:szCs w:val="21"/>
              </w:rPr>
              <w:t>。</w:t>
            </w:r>
          </w:p>
        </w:tc>
        <w:tc>
          <w:tcPr>
            <w:tcW w:w="3795" w:type="dxa"/>
            <w:noWrap w:val="0"/>
            <w:vAlign w:val="center"/>
          </w:tcPr>
          <w:p>
            <w:pPr>
              <w:spacing w:line="320" w:lineRule="exact"/>
              <w:textAlignment w:val="top"/>
              <w:rPr>
                <w:rFonts w:ascii="宋体" w:hAnsi="宋体" w:cs="仿宋_GB2312"/>
                <w:color w:val="000000"/>
                <w:kern w:val="0"/>
                <w:szCs w:val="21"/>
              </w:rPr>
            </w:pPr>
            <w:r>
              <w:rPr>
                <w:rFonts w:hint="eastAsia" w:ascii="宋体" w:hAnsi="宋体" w:cs="仿宋_GB2312"/>
                <w:color w:val="000000"/>
                <w:kern w:val="0"/>
                <w:szCs w:val="21"/>
              </w:rPr>
              <w:t>畅通爱国卫生建议与投诉平台，认真核实和解决群众反映的问题。</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区爱卫办、区政务服务数据管理局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rPr>
                <w:rFonts w:ascii="宋体" w:hAnsi="宋体" w:cs="仿宋_GB2312"/>
                <w:szCs w:val="21"/>
              </w:rPr>
            </w:pPr>
            <w:r>
              <w:rPr>
                <w:rFonts w:hint="eastAsia" w:ascii="宋体" w:hAnsi="宋体" w:cs="仿宋_GB2312"/>
                <w:color w:val="000000"/>
                <w:kern w:val="0"/>
                <w:szCs w:val="21"/>
              </w:rPr>
              <w:t>群众对卫生状况满意率≥</w:t>
            </w:r>
            <w:r>
              <w:rPr>
                <w:rFonts w:ascii="宋体" w:hAnsi="宋体" w:cs="仿宋_GB2312"/>
                <w:color w:val="000000"/>
                <w:kern w:val="0"/>
                <w:szCs w:val="21"/>
              </w:rPr>
              <w:t>90%</w:t>
            </w:r>
            <w:r>
              <w:rPr>
                <w:rFonts w:hint="eastAsia" w:ascii="宋体" w:hAnsi="宋体" w:cs="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二、</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健康教育和健康促进</w:t>
            </w:r>
          </w:p>
        </w:tc>
        <w:tc>
          <w:tcPr>
            <w:tcW w:w="3611" w:type="dxa"/>
            <w:vMerge w:val="restart"/>
            <w:noWrap w:val="0"/>
            <w:vAlign w:val="center"/>
          </w:tcPr>
          <w:p>
            <w:pPr>
              <w:spacing w:line="320" w:lineRule="exact"/>
              <w:textAlignment w:val="center"/>
              <w:rPr>
                <w:rFonts w:ascii="宋体" w:hAnsi="宋体" w:cs="仿宋_GB2312"/>
                <w:szCs w:val="21"/>
              </w:rPr>
            </w:pPr>
            <w:r>
              <w:rPr>
                <w:rFonts w:hint="eastAsia" w:ascii="宋体" w:hAnsi="宋体" w:cs="仿宋_GB2312"/>
                <w:color w:val="000000"/>
                <w:kern w:val="0"/>
                <w:szCs w:val="21"/>
              </w:rPr>
              <w:t>（六）健康教育网络健全，利用国家及省级健康科普专家库和资源库，广泛开展健康教育和健康促进活动，倡导文明健康、绿色环保生活方式。积极开展健康社区、健康学校、健康单位（含企业）、健康家庭等健康细胞建设。</w:t>
            </w:r>
          </w:p>
        </w:tc>
        <w:tc>
          <w:tcPr>
            <w:tcW w:w="3795" w:type="dxa"/>
            <w:noWrap w:val="0"/>
            <w:vAlign w:val="center"/>
          </w:tcPr>
          <w:p>
            <w:pPr>
              <w:spacing w:line="320" w:lineRule="exact"/>
              <w:textAlignment w:val="top"/>
              <w:rPr>
                <w:rFonts w:ascii="宋体" w:hAnsi="宋体" w:cs="仿宋_GB2312"/>
                <w:color w:val="000000"/>
                <w:kern w:val="0"/>
                <w:szCs w:val="21"/>
              </w:rPr>
            </w:pPr>
            <w:r>
              <w:rPr>
                <w:rFonts w:ascii="宋体" w:hAnsi="宋体" w:cs="仿宋_GB2312"/>
                <w:color w:val="000000"/>
                <w:kern w:val="0"/>
                <w:szCs w:val="21"/>
              </w:rPr>
              <w:t>1.</w:t>
            </w:r>
            <w:r>
              <w:rPr>
                <w:rFonts w:hint="eastAsia" w:ascii="宋体" w:hAnsi="宋体" w:cs="仿宋_GB2312"/>
                <w:color w:val="000000"/>
                <w:kern w:val="0"/>
                <w:szCs w:val="21"/>
              </w:rPr>
              <w:t>健康教育网络健全，利用国家及省级健康科普专家库和资源库，广泛开展健康教育和健康促进活动，倡导文明健康、绿色环保生活方式。</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各镇（街道）政府（办事处）、区卫生健康局</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szCs w:val="21"/>
              </w:rPr>
            </w:pPr>
          </w:p>
        </w:tc>
        <w:tc>
          <w:tcPr>
            <w:tcW w:w="3795" w:type="dxa"/>
            <w:noWrap w:val="0"/>
            <w:vAlign w:val="center"/>
          </w:tcPr>
          <w:p>
            <w:pPr>
              <w:spacing w:line="320" w:lineRule="exact"/>
              <w:textAlignment w:val="top"/>
              <w:rPr>
                <w:rFonts w:ascii="宋体" w:hAnsi="宋体" w:cs="仿宋_GB2312"/>
                <w:color w:val="000000"/>
                <w:kern w:val="0"/>
                <w:szCs w:val="21"/>
              </w:rPr>
            </w:pPr>
            <w:r>
              <w:rPr>
                <w:rFonts w:ascii="宋体" w:hAnsi="宋体" w:cs="仿宋_GB2312"/>
                <w:color w:val="000000"/>
                <w:kern w:val="0"/>
                <w:szCs w:val="21"/>
              </w:rPr>
              <w:t>2.</w:t>
            </w:r>
            <w:r>
              <w:rPr>
                <w:rFonts w:hint="eastAsia" w:ascii="宋体" w:hAnsi="宋体" w:cs="仿宋_GB2312"/>
                <w:color w:val="000000"/>
                <w:kern w:val="0"/>
                <w:szCs w:val="21"/>
              </w:rPr>
              <w:t>积极开展健康社区、健康学校、健康单位（含企业）、健康家庭等健康细胞建设。</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区爱卫会、区教育局、区工业信息化和商务局、区妇联、区卫生健康局，各镇（街道）政府（办事处）</w:t>
            </w:r>
          </w:p>
        </w:tc>
        <w:tc>
          <w:tcPr>
            <w:tcW w:w="1980" w:type="dxa"/>
            <w:noWrap w:val="0"/>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szCs w:val="21"/>
              </w:rPr>
            </w:pPr>
            <w:r>
              <w:rPr>
                <w:rFonts w:hint="eastAsia" w:ascii="宋体" w:hAnsi="宋体" w:cs="仿宋_GB2312"/>
                <w:color w:val="000000"/>
                <w:szCs w:val="21"/>
              </w:rPr>
              <w:t>（七）居民健康素养水平达到国家卫生事业发展规划要求</w:t>
            </w:r>
          </w:p>
        </w:tc>
        <w:tc>
          <w:tcPr>
            <w:tcW w:w="3795" w:type="dxa"/>
            <w:noWrap w:val="0"/>
            <w:vAlign w:val="center"/>
          </w:tcPr>
          <w:p>
            <w:pPr>
              <w:spacing w:line="320" w:lineRule="exact"/>
              <w:textAlignment w:val="center"/>
              <w:rPr>
                <w:rFonts w:ascii="宋体" w:hAnsi="宋体" w:cs="仿宋_GB2312"/>
                <w:color w:val="000000"/>
                <w:kern w:val="0"/>
                <w:szCs w:val="21"/>
              </w:rPr>
            </w:pPr>
            <w:r>
              <w:rPr>
                <w:rFonts w:hint="eastAsia" w:ascii="宋体" w:hAnsi="宋体" w:cs="仿宋_GB2312"/>
                <w:color w:val="000000"/>
                <w:szCs w:val="21"/>
              </w:rPr>
              <w:t>居民健康素养水平达到国家卫生事业发展规划要求。</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各镇（街道）政府（办事处）、区卫生健康局</w:t>
            </w:r>
          </w:p>
        </w:tc>
        <w:tc>
          <w:tcPr>
            <w:tcW w:w="1980" w:type="dxa"/>
            <w:noWrap w:val="0"/>
            <w:vAlign w:val="center"/>
          </w:tcPr>
          <w:p>
            <w:pPr>
              <w:spacing w:line="32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9"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szCs w:val="21"/>
              </w:rPr>
            </w:pPr>
            <w:r>
              <w:rPr>
                <w:rFonts w:hint="eastAsia" w:ascii="宋体" w:hAnsi="宋体" w:cs="仿宋_GB2312"/>
                <w:color w:val="000000"/>
                <w:szCs w:val="21"/>
              </w:rPr>
              <w:t>（八）</w:t>
            </w:r>
            <w:r>
              <w:rPr>
                <w:rFonts w:ascii="宋体" w:hAnsi="宋体" w:cs="仿宋_GB2312"/>
                <w:color w:val="000000"/>
                <w:szCs w:val="21"/>
              </w:rPr>
              <w:t>100%</w:t>
            </w:r>
            <w:r>
              <w:rPr>
                <w:rFonts w:hint="eastAsia" w:ascii="宋体" w:hAnsi="宋体" w:cs="仿宋_GB2312"/>
                <w:color w:val="000000"/>
                <w:szCs w:val="21"/>
              </w:rPr>
              <w:t>的社区建有全民健身场地设施。经常参加体育锻炼人数比例达到</w:t>
            </w:r>
            <w:r>
              <w:rPr>
                <w:rFonts w:ascii="宋体" w:hAnsi="宋体" w:cs="仿宋_GB2312"/>
                <w:color w:val="000000"/>
                <w:szCs w:val="21"/>
              </w:rPr>
              <w:t>37%</w:t>
            </w:r>
            <w:r>
              <w:rPr>
                <w:rFonts w:hint="eastAsia" w:ascii="宋体" w:hAnsi="宋体" w:cs="仿宋_GB2312"/>
                <w:color w:val="000000"/>
                <w:szCs w:val="21"/>
              </w:rPr>
              <w:t>以上，人均体育场地面积达到</w:t>
            </w:r>
            <w:r>
              <w:rPr>
                <w:rFonts w:ascii="宋体" w:hAnsi="宋体" w:cs="仿宋_GB2312"/>
                <w:color w:val="000000"/>
                <w:szCs w:val="21"/>
              </w:rPr>
              <w:t>2.18</w:t>
            </w:r>
            <w:r>
              <w:rPr>
                <w:rFonts w:hint="eastAsia" w:ascii="宋体" w:hAnsi="宋体" w:cs="仿宋_GB2312"/>
                <w:color w:val="000000"/>
                <w:szCs w:val="21"/>
              </w:rPr>
              <w:t>平方米以上。每千人口至少有</w:t>
            </w:r>
            <w:r>
              <w:rPr>
                <w:rFonts w:ascii="宋体" w:hAnsi="宋体" w:cs="仿宋_GB2312"/>
                <w:color w:val="000000"/>
                <w:szCs w:val="21"/>
              </w:rPr>
              <w:t>2</w:t>
            </w:r>
            <w:r>
              <w:rPr>
                <w:rFonts w:hint="eastAsia" w:ascii="宋体" w:hAnsi="宋体" w:cs="仿宋_GB2312"/>
                <w:color w:val="000000"/>
                <w:szCs w:val="21"/>
              </w:rPr>
              <w:t>名社会体育指导员。</w:t>
            </w:r>
          </w:p>
        </w:tc>
        <w:tc>
          <w:tcPr>
            <w:tcW w:w="3795" w:type="dxa"/>
            <w:noWrap w:val="0"/>
            <w:vAlign w:val="center"/>
          </w:tcPr>
          <w:p>
            <w:pPr>
              <w:spacing w:line="320" w:lineRule="exact"/>
              <w:textAlignment w:val="center"/>
              <w:rPr>
                <w:rFonts w:ascii="宋体" w:hAnsi="宋体" w:cs="仿宋_GB2312"/>
                <w:color w:val="000000"/>
                <w:kern w:val="0"/>
                <w:szCs w:val="21"/>
              </w:rPr>
            </w:pP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区文化旅游体育局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各镇（街道）人民政府（办事处）</w:t>
            </w:r>
          </w:p>
        </w:tc>
        <w:tc>
          <w:tcPr>
            <w:tcW w:w="1980" w:type="dxa"/>
            <w:noWrap w:val="0"/>
            <w:vAlign w:val="center"/>
          </w:tcPr>
          <w:p>
            <w:pPr>
              <w:spacing w:line="280" w:lineRule="exact"/>
              <w:textAlignment w:val="center"/>
              <w:rPr>
                <w:rFonts w:hint="eastAsia" w:ascii="宋体" w:hAnsi="宋体" w:cs="仿宋_GB2312"/>
                <w:color w:val="000000"/>
                <w:szCs w:val="21"/>
              </w:rPr>
            </w:pPr>
            <w:r>
              <w:rPr>
                <w:rFonts w:ascii="宋体" w:hAnsi="宋体" w:cs="仿宋_GB2312"/>
                <w:color w:val="000000"/>
                <w:kern w:val="0"/>
                <w:szCs w:val="21"/>
              </w:rPr>
              <w:t>1.</w:t>
            </w:r>
            <w:r>
              <w:rPr>
                <w:rFonts w:ascii="宋体" w:hAnsi="宋体" w:cs="仿宋_GB2312"/>
                <w:color w:val="000000"/>
                <w:szCs w:val="21"/>
              </w:rPr>
              <w:t>100%</w:t>
            </w:r>
            <w:r>
              <w:rPr>
                <w:rFonts w:hint="eastAsia" w:ascii="宋体" w:hAnsi="宋体" w:cs="仿宋_GB2312"/>
                <w:color w:val="000000"/>
                <w:szCs w:val="21"/>
              </w:rPr>
              <w:t>的社区建有全民健身场地设施。</w:t>
            </w:r>
          </w:p>
          <w:p>
            <w:pPr>
              <w:spacing w:line="280" w:lineRule="exact"/>
              <w:textAlignment w:val="center"/>
              <w:rPr>
                <w:rFonts w:hint="eastAsia"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经常参加体育锻炼人数比例达到</w:t>
            </w:r>
            <w:r>
              <w:rPr>
                <w:rFonts w:ascii="宋体" w:hAnsi="宋体" w:cs="仿宋_GB2312"/>
                <w:color w:val="000000"/>
                <w:szCs w:val="21"/>
              </w:rPr>
              <w:t>37%</w:t>
            </w:r>
            <w:r>
              <w:rPr>
                <w:rFonts w:hint="eastAsia" w:ascii="宋体" w:hAnsi="宋体" w:cs="仿宋_GB2312"/>
                <w:color w:val="000000"/>
                <w:szCs w:val="21"/>
              </w:rPr>
              <w:t>以上。</w:t>
            </w:r>
          </w:p>
          <w:p>
            <w:pPr>
              <w:spacing w:line="280" w:lineRule="exact"/>
              <w:textAlignment w:val="center"/>
              <w:rPr>
                <w:rFonts w:hint="eastAsia"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人均体育场地面积达到</w:t>
            </w:r>
            <w:r>
              <w:rPr>
                <w:rFonts w:ascii="宋体" w:hAnsi="宋体" w:cs="仿宋_GB2312"/>
                <w:color w:val="000000"/>
                <w:szCs w:val="21"/>
              </w:rPr>
              <w:t>2.18</w:t>
            </w:r>
            <w:r>
              <w:rPr>
                <w:rFonts w:hint="eastAsia" w:ascii="宋体" w:hAnsi="宋体" w:cs="仿宋_GB2312"/>
                <w:color w:val="000000"/>
                <w:szCs w:val="21"/>
              </w:rPr>
              <w:t>平方米以上。</w:t>
            </w:r>
          </w:p>
          <w:p>
            <w:pPr>
              <w:spacing w:line="280" w:lineRule="exact"/>
              <w:textAlignment w:val="center"/>
              <w:rPr>
                <w:rFonts w:ascii="宋体" w:hAnsi="宋体" w:cs="仿宋_GB2312"/>
                <w:szCs w:val="21"/>
              </w:rPr>
            </w:pPr>
            <w:r>
              <w:rPr>
                <w:rFonts w:ascii="宋体" w:hAnsi="宋体" w:cs="仿宋_GB2312"/>
                <w:color w:val="000000"/>
                <w:szCs w:val="21"/>
              </w:rPr>
              <w:t>4.</w:t>
            </w:r>
            <w:r>
              <w:rPr>
                <w:rFonts w:hint="eastAsia" w:ascii="宋体" w:hAnsi="宋体" w:cs="仿宋_GB2312"/>
                <w:color w:val="000000"/>
                <w:szCs w:val="21"/>
              </w:rPr>
              <w:t>每千人口至少有</w:t>
            </w:r>
            <w:r>
              <w:rPr>
                <w:rFonts w:ascii="宋体" w:hAnsi="宋体" w:cs="仿宋_GB2312"/>
                <w:color w:val="000000"/>
                <w:szCs w:val="21"/>
              </w:rPr>
              <w:t>2</w:t>
            </w:r>
            <w:r>
              <w:rPr>
                <w:rFonts w:hint="eastAsia" w:ascii="宋体" w:hAnsi="宋体" w:cs="仿宋_GB2312"/>
                <w:color w:val="000000"/>
                <w:szCs w:val="21"/>
              </w:rPr>
              <w:t>名社会体育指导员。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二、</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健康教育和健康促进</w:t>
            </w: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九）深入开展控烟宣传活动，禁止烟草广告、赞助和促销活动。开展各类无烟场所建设，党政机关、医疗卫生机构、学校室内全面禁烟，逐步实现室内公共场所、工作场所和公共交通工具全面禁烟。基层医疗卫生机构提供戒烟咨询服务，二级以上医院提供简短戒烟干预服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深入开展控烟宣传活动，开展各类无烟场所创建活动。</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区爱卫会</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r>
              <w:rPr>
                <w:rFonts w:ascii="宋体" w:hAnsi="宋体" w:cs="仿宋_GB2312"/>
                <w:color w:val="000000"/>
                <w:szCs w:val="21"/>
              </w:rPr>
              <w:t xml:space="preserve"> </w:t>
            </w:r>
            <w:r>
              <w:rPr>
                <w:rFonts w:hint="eastAsia" w:ascii="宋体" w:hAnsi="宋体" w:cs="仿宋_GB2312"/>
                <w:color w:val="000000"/>
                <w:szCs w:val="21"/>
              </w:rPr>
              <w:t>区卫生健康局</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禁止烟草广告、赞助和促销活动。</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区市场监管局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党政机关、医疗卫生机构、学校室内全面禁烟，逐步实现室内公共场所、工作场所和公共交通工具全面禁烟。</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各级各类党政机关、企事业单位、区住房城乡建设局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各级党委（党工委）和政府（办事处）</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基层医疗卫生机构提供戒烟咨询服务，二级以上医院提供简短戒烟干预服务。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各级医疗卫生机构</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三、</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市容环境卫生</w:t>
            </w:r>
          </w:p>
        </w:tc>
        <w:tc>
          <w:tcPr>
            <w:tcW w:w="3611" w:type="dxa"/>
            <w:vMerge w:val="restart"/>
            <w:noWrap w:val="0"/>
            <w:vAlign w:val="center"/>
          </w:tcPr>
          <w:p>
            <w:pPr>
              <w:numPr>
                <w:ilvl w:val="0"/>
                <w:numId w:val="1"/>
              </w:numPr>
              <w:spacing w:line="320" w:lineRule="exact"/>
              <w:rPr>
                <w:rFonts w:ascii="宋体" w:hAnsi="宋体" w:cs="仿宋_GB2312"/>
                <w:color w:val="000000"/>
                <w:szCs w:val="21"/>
              </w:rPr>
            </w:pPr>
            <w:r>
              <w:rPr>
                <w:rFonts w:hint="eastAsia" w:ascii="宋体" w:hAnsi="宋体" w:cs="仿宋_GB2312"/>
                <w:color w:val="000000"/>
                <w:szCs w:val="21"/>
              </w:rPr>
              <w:t>主次干道和街巷路面平整，道路装灯率达到</w:t>
            </w:r>
            <w:r>
              <w:rPr>
                <w:rFonts w:ascii="宋体" w:hAnsi="宋体" w:cs="仿宋_GB2312"/>
                <w:color w:val="000000"/>
                <w:szCs w:val="21"/>
              </w:rPr>
              <w:t>100%</w:t>
            </w:r>
            <w:r>
              <w:rPr>
                <w:rFonts w:hint="eastAsia" w:ascii="宋体" w:hAnsi="宋体" w:cs="仿宋_GB2312"/>
                <w:color w:val="000000"/>
                <w:szCs w:val="21"/>
              </w:rPr>
              <w:t>。垃圾桶（箱）等垃圾分类收集容器配置齐全，满足当地垃圾分类要求。无乱贴乱画、乱泼乱倒、乱拉乱挂、乱搭乱建、乱停乱放等现象，无卫生死角。主次干道保洁时间不低于</w:t>
            </w:r>
            <w:r>
              <w:rPr>
                <w:rFonts w:ascii="宋体" w:hAnsi="宋体" w:cs="仿宋_GB2312"/>
                <w:color w:val="000000"/>
                <w:szCs w:val="21"/>
              </w:rPr>
              <w:t>16</w:t>
            </w:r>
            <w:r>
              <w:rPr>
                <w:rFonts w:hint="eastAsia" w:ascii="宋体" w:hAnsi="宋体" w:cs="仿宋_GB2312"/>
                <w:color w:val="000000"/>
                <w:szCs w:val="21"/>
              </w:rPr>
              <w:t>小时，街巷路面保洁时间不低于</w:t>
            </w:r>
            <w:r>
              <w:rPr>
                <w:rFonts w:ascii="宋体" w:hAnsi="宋体" w:cs="仿宋_GB2312"/>
                <w:color w:val="000000"/>
                <w:szCs w:val="21"/>
              </w:rPr>
              <w:t>12</w:t>
            </w:r>
            <w:r>
              <w:rPr>
                <w:rFonts w:hint="eastAsia" w:ascii="宋体" w:hAnsi="宋体" w:cs="仿宋_GB2312"/>
                <w:color w:val="000000"/>
                <w:szCs w:val="21"/>
              </w:rPr>
              <w:t>小时。河道、湖泊等水面清洁、岸坡整洁，无垃圾杂物。户外广告设施和招牌标识设置安全、规范。建筑工地（含待建、拆迁、在建等工地）管理到位，卫生整洁，规范围挡，无乱倒垃圾和乱搭乱建现象。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主次干道和街巷路面平整。</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区城管执法局、</w:t>
            </w:r>
            <w:r>
              <w:rPr>
                <w:rFonts w:hint="eastAsia" w:ascii="宋体" w:hAnsi="宋体" w:cs="仿宋_GB2312"/>
                <w:color w:val="000000"/>
                <w:szCs w:val="21"/>
              </w:rPr>
              <w:t>区住房城乡建设局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rPr>
                <w:rFonts w:ascii="宋体" w:hAnsi="宋体" w:cs="仿宋_GB2312"/>
                <w:color w:val="000000"/>
                <w:kern w:val="0"/>
                <w:szCs w:val="21"/>
              </w:rPr>
            </w:pPr>
            <w:r>
              <w:rPr>
                <w:rFonts w:hint="eastAsia" w:ascii="宋体" w:hAnsi="宋体" w:cs="仿宋_GB2312"/>
                <w:color w:val="000000"/>
                <w:szCs w:val="21"/>
              </w:rPr>
              <w:t>道路装灯率达到</w:t>
            </w:r>
            <w:r>
              <w:rPr>
                <w:rFonts w:ascii="宋体" w:hAnsi="宋体" w:cs="仿宋_GB2312"/>
                <w:color w:val="000000"/>
                <w:szCs w:val="21"/>
              </w:rPr>
              <w:t>100%</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垃圾桶（箱）等垃圾分类收集容器配置齐全，满足当地垃圾分类要求。</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区城管执法局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无乱贴乱画、乱泼乱倒、乱拉乱挂、乱搭乱建、乱停乱放等现象，无卫生死角。</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区城管执法局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00" w:lineRule="exact"/>
              <w:rPr>
                <w:rFonts w:ascii="宋体" w:hAnsi="宋体" w:cs="仿宋_GB2312"/>
                <w:color w:val="000000"/>
                <w:kern w:val="0"/>
                <w:szCs w:val="21"/>
              </w:rPr>
            </w:pPr>
            <w:r>
              <w:rPr>
                <w:rFonts w:hint="eastAsia" w:ascii="宋体" w:hAnsi="宋体" w:cs="仿宋_GB2312"/>
                <w:color w:val="000000"/>
                <w:szCs w:val="21"/>
              </w:rPr>
              <w:t>主次干道保洁时间不低于</w:t>
            </w:r>
            <w:r>
              <w:rPr>
                <w:rFonts w:ascii="宋体" w:hAnsi="宋体" w:cs="仿宋_GB2312"/>
                <w:color w:val="000000"/>
                <w:szCs w:val="21"/>
              </w:rPr>
              <w:t>16</w:t>
            </w:r>
            <w:r>
              <w:rPr>
                <w:rFonts w:hint="eastAsia" w:ascii="宋体" w:hAnsi="宋体" w:cs="仿宋_GB2312"/>
                <w:color w:val="000000"/>
                <w:szCs w:val="21"/>
              </w:rPr>
              <w:t>小时，街巷路面保洁时间不低于</w:t>
            </w:r>
            <w:r>
              <w:rPr>
                <w:rFonts w:ascii="宋体" w:hAnsi="宋体" w:cs="仿宋_GB2312"/>
                <w:color w:val="000000"/>
                <w:szCs w:val="21"/>
              </w:rPr>
              <w:t>12</w:t>
            </w:r>
            <w:r>
              <w:rPr>
                <w:rFonts w:hint="eastAsia" w:ascii="宋体" w:hAnsi="宋体" w:cs="仿宋_GB2312"/>
                <w:color w:val="00000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河道、湖泊等水面清洁、岸坡整洁，无垃圾杂物。</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szCs w:val="21"/>
              </w:rPr>
              <w:t>区农业农村局</w:t>
            </w:r>
          </w:p>
        </w:tc>
        <w:tc>
          <w:tcPr>
            <w:tcW w:w="2340" w:type="dxa"/>
            <w:noWrap w:val="0"/>
            <w:vAlign w:val="center"/>
          </w:tcPr>
          <w:p>
            <w:pPr>
              <w:spacing w:line="300" w:lineRule="exact"/>
              <w:jc w:val="center"/>
              <w:rPr>
                <w:rFonts w:ascii="宋体" w:hAnsi="宋体" w:cs="仿宋_GB2312"/>
                <w:color w:val="000000"/>
                <w:szCs w:val="21"/>
              </w:rPr>
            </w:pPr>
            <w:r>
              <w:rPr>
                <w:rFonts w:hint="eastAsia" w:ascii="宋体" w:hAnsi="宋体" w:cs="仿宋_GB2312"/>
                <w:color w:val="000000"/>
                <w:szCs w:val="21"/>
              </w:rPr>
              <w:t>区城管执法局、区住房城乡建设局、区生态环境分局、各镇（街道）政府（办事处）</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5.</w:t>
            </w:r>
            <w:r>
              <w:rPr>
                <w:rFonts w:hint="eastAsia" w:ascii="宋体" w:hAnsi="宋体" w:cs="仿宋_GB2312"/>
                <w:color w:val="000000"/>
                <w:szCs w:val="21"/>
              </w:rPr>
              <w:t>户外广告设施和招牌标识设置安全、规范。</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区城管执法局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区城管执法局</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6.</w:t>
            </w:r>
            <w:r>
              <w:rPr>
                <w:rFonts w:hint="eastAsia" w:ascii="宋体" w:hAnsi="宋体" w:cs="仿宋_GB2312"/>
                <w:color w:val="000000"/>
                <w:szCs w:val="21"/>
              </w:rPr>
              <w:t>建筑工地（含待建、拆迁、在建等工地）管理到位，卫生整洁，规范围挡，无乱倒垃圾和乱搭乱建现象。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kern w:val="0"/>
                <w:szCs w:val="21"/>
              </w:rPr>
              <w:t>区城管执法局、</w:t>
            </w:r>
            <w:r>
              <w:rPr>
                <w:rFonts w:hint="eastAsia" w:ascii="宋体" w:hAnsi="宋体" w:cs="仿宋_GB2312"/>
                <w:color w:val="000000"/>
                <w:kern w:val="0"/>
                <w:szCs w:val="21"/>
              </w:rPr>
              <w:t>区住房城乡建设局</w:t>
            </w:r>
          </w:p>
        </w:tc>
        <w:tc>
          <w:tcPr>
            <w:tcW w:w="1980" w:type="dxa"/>
            <w:noWrap w:val="0"/>
            <w:vAlign w:val="center"/>
          </w:tcPr>
          <w:p>
            <w:pPr>
              <w:spacing w:line="320" w:lineRule="exact"/>
              <w:textAlignment w:val="center"/>
              <w:rPr>
                <w:rFonts w:ascii="宋体" w:hAns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（十一）建成区绿化覆盖率≥</w:t>
            </w:r>
            <w:r>
              <w:rPr>
                <w:rFonts w:ascii="宋体" w:hAnsi="宋体" w:cs="仿宋_GB2312"/>
                <w:color w:val="000000"/>
                <w:szCs w:val="21"/>
              </w:rPr>
              <w:t>36%</w:t>
            </w:r>
            <w:r>
              <w:rPr>
                <w:rFonts w:hint="eastAsia" w:ascii="宋体" w:hAnsi="宋体" w:cs="仿宋_GB2312"/>
                <w:color w:val="000000"/>
                <w:szCs w:val="21"/>
              </w:rPr>
              <w:t>，人均公园绿地面积≥</w:t>
            </w:r>
            <w:r>
              <w:rPr>
                <w:rFonts w:ascii="宋体" w:hAnsi="宋体" w:cs="仿宋_GB2312"/>
                <w:color w:val="000000"/>
                <w:szCs w:val="21"/>
              </w:rPr>
              <w:t>8.5</w:t>
            </w:r>
            <w:r>
              <w:rPr>
                <w:rFonts w:hint="eastAsia" w:ascii="宋体" w:hAnsi="宋体" w:cs="仿宋_GB2312"/>
                <w:color w:val="000000"/>
                <w:szCs w:val="21"/>
              </w:rPr>
              <w:t>平方米。</w:t>
            </w:r>
          </w:p>
        </w:tc>
        <w:tc>
          <w:tcPr>
            <w:tcW w:w="3795" w:type="dxa"/>
            <w:noWrap w:val="0"/>
            <w:vAlign w:val="center"/>
          </w:tcPr>
          <w:p>
            <w:pPr>
              <w:spacing w:line="320" w:lineRule="exact"/>
              <w:textAlignment w:val="center"/>
              <w:rPr>
                <w:rFonts w:ascii="宋体" w:hAnsi="宋体" w:cs="仿宋_GB2312"/>
                <w:color w:val="000000"/>
                <w:szCs w:val="21"/>
              </w:rPr>
            </w:pP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szCs w:val="21"/>
              </w:rPr>
              <w:t>区城管执法局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00" w:lineRule="exact"/>
              <w:rPr>
                <w:rFonts w:hint="eastAsia"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建成区绿化覆盖率≥</w:t>
            </w:r>
            <w:r>
              <w:rPr>
                <w:rFonts w:ascii="宋体" w:hAnsi="宋体" w:cs="仿宋_GB2312"/>
                <w:color w:val="000000"/>
                <w:szCs w:val="21"/>
              </w:rPr>
              <w:t>36%</w:t>
            </w:r>
            <w:r>
              <w:rPr>
                <w:rFonts w:hint="eastAsia" w:ascii="宋体" w:hAnsi="宋体" w:cs="仿宋_GB2312"/>
                <w:color w:val="000000"/>
                <w:szCs w:val="21"/>
              </w:rPr>
              <w:t>。</w:t>
            </w:r>
          </w:p>
          <w:p>
            <w:pPr>
              <w:spacing w:line="300" w:lineRule="exact"/>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人均公园绿地面积≥</w:t>
            </w:r>
            <w:r>
              <w:rPr>
                <w:rFonts w:ascii="宋体" w:hAnsi="宋体" w:cs="仿宋_GB2312"/>
                <w:color w:val="000000"/>
                <w:szCs w:val="21"/>
              </w:rPr>
              <w:t>8.5</w:t>
            </w:r>
            <w:r>
              <w:rPr>
                <w:rFonts w:hint="eastAsia" w:ascii="宋体" w:hAnsi="宋体" w:cs="仿宋_GB2312"/>
                <w:color w:val="00000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三、</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市容环境卫生</w:t>
            </w:r>
          </w:p>
        </w:tc>
        <w:tc>
          <w:tcPr>
            <w:tcW w:w="3611"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十二）生活垃圾转运站等环卫设施、废旧物资回收基础设施符合相关标准要求，数量充足，布局合理，管理规范。生活垃圾分类收集运输体系和废旧物资循环利用体系完善，生活垃圾、粪便分类收集运输容器、车辆等设备设施全面实现密闭化、规范化，生活垃圾、粪便日产日清。</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生活垃圾转运站等环卫设施、废旧物资回收基础设施符合相关标准要求，数量充足，布局合理，管理规范。生活垃圾分类收集运输体系和废旧物资循环利用体系完善，生活垃圾、粪便分类收集运输容器、车辆等设备设施全面实现密闭化、规范化，生活垃圾、粪便日产日清。</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区城管执法局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snapToGrid w:val="0"/>
                <w:color w:val="000000"/>
                <w:kern w:val="0"/>
                <w:szCs w:val="21"/>
              </w:rPr>
              <w:t>各镇（街道）政府（办事处）、区工业信息化和商务局、区供销社</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（十三）推行生活垃圾分类和减量化、资源化。因地制宜加快建立生活垃圾分类投放、分类收集、分类运输、分类处理系统，实现生活垃圾分类制度有效覆盖。城市生活垃圾回收利用率达到</w:t>
            </w:r>
            <w:r>
              <w:rPr>
                <w:rFonts w:ascii="宋体" w:hAnsi="宋体" w:cs="仿宋_GB2312"/>
                <w:color w:val="000000"/>
                <w:szCs w:val="21"/>
              </w:rPr>
              <w:t>35%</w:t>
            </w:r>
            <w:r>
              <w:rPr>
                <w:rFonts w:hint="eastAsia" w:ascii="宋体" w:hAnsi="宋体" w:cs="仿宋_GB2312"/>
                <w:color w:val="000000"/>
                <w:szCs w:val="21"/>
              </w:rPr>
              <w:t>以上，无害化处理率</w:t>
            </w:r>
            <w:r>
              <w:rPr>
                <w:rFonts w:ascii="宋体" w:hAnsi="宋体" w:cs="仿宋_GB2312"/>
                <w:color w:val="000000"/>
                <w:szCs w:val="21"/>
              </w:rPr>
              <w:t>100%</w:t>
            </w:r>
            <w:r>
              <w:rPr>
                <w:rFonts w:hint="eastAsia" w:ascii="宋体" w:hAnsi="宋体" w:cs="仿宋_GB2312"/>
                <w:color w:val="000000"/>
                <w:szCs w:val="21"/>
              </w:rPr>
              <w:t>。建立完善船舶污染物“船</w:t>
            </w:r>
            <w:r>
              <w:rPr>
                <w:rFonts w:ascii="宋体" w:hAnsi="宋体" w:cs="仿宋_GB2312"/>
                <w:color w:val="000000"/>
                <w:szCs w:val="21"/>
              </w:rPr>
              <w:t>-</w:t>
            </w:r>
            <w:r>
              <w:rPr>
                <w:rFonts w:hint="eastAsia" w:ascii="宋体" w:hAnsi="宋体" w:cs="仿宋_GB2312"/>
                <w:color w:val="000000"/>
                <w:szCs w:val="21"/>
              </w:rPr>
              <w:t>港</w:t>
            </w:r>
            <w:r>
              <w:rPr>
                <w:rFonts w:ascii="宋体" w:hAnsi="宋体" w:cs="仿宋_GB2312"/>
                <w:color w:val="000000"/>
                <w:szCs w:val="21"/>
              </w:rPr>
              <w:t>-</w:t>
            </w:r>
            <w:r>
              <w:rPr>
                <w:rFonts w:hint="eastAsia" w:ascii="宋体" w:hAnsi="宋体" w:cs="仿宋_GB2312"/>
                <w:color w:val="000000"/>
                <w:szCs w:val="21"/>
              </w:rPr>
              <w:t>城”“收集</w:t>
            </w:r>
            <w:r>
              <w:rPr>
                <w:rFonts w:ascii="宋体" w:hAnsi="宋体" w:cs="仿宋_GB2312"/>
                <w:color w:val="000000"/>
                <w:szCs w:val="21"/>
              </w:rPr>
              <w:t>-</w:t>
            </w:r>
            <w:r>
              <w:rPr>
                <w:rFonts w:hint="eastAsia" w:ascii="宋体" w:hAnsi="宋体" w:cs="仿宋_GB2312"/>
                <w:color w:val="000000"/>
                <w:szCs w:val="21"/>
              </w:rPr>
              <w:t>接受</w:t>
            </w:r>
            <w:r>
              <w:rPr>
                <w:rFonts w:ascii="宋体" w:hAnsi="宋体" w:cs="仿宋_GB2312"/>
                <w:color w:val="000000"/>
                <w:szCs w:val="21"/>
              </w:rPr>
              <w:t>-</w:t>
            </w:r>
            <w:r>
              <w:rPr>
                <w:rFonts w:hint="eastAsia" w:ascii="宋体" w:hAnsi="宋体" w:cs="仿宋_GB2312"/>
                <w:color w:val="000000"/>
                <w:szCs w:val="21"/>
              </w:rPr>
              <w:t>转运</w:t>
            </w:r>
            <w:r>
              <w:rPr>
                <w:rFonts w:ascii="宋体" w:hAnsi="宋体" w:cs="仿宋_GB2312"/>
                <w:color w:val="000000"/>
                <w:szCs w:val="21"/>
              </w:rPr>
              <w:t>-</w:t>
            </w:r>
            <w:r>
              <w:rPr>
                <w:rFonts w:hint="eastAsia" w:ascii="宋体" w:hAnsi="宋体" w:cs="仿宋_GB2312"/>
                <w:color w:val="000000"/>
                <w:szCs w:val="21"/>
              </w:rPr>
              <w:t>处置”衔接和协作制度。</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推行生活垃圾分类和减量化、资源化。因地制宜加快建立生活垃圾分类投放、分类收集、分类运输、分类处理系统，实现生活垃圾分类制度有效覆盖。</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color w:val="000000"/>
                <w:szCs w:val="21"/>
              </w:rPr>
              <w:t>区城管执法局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color w:val="000000"/>
                <w:kern w:val="0"/>
                <w:szCs w:val="21"/>
              </w:rPr>
              <w:t>各镇（街道）政府（办事处）、</w:t>
            </w:r>
            <w:r>
              <w:rPr>
                <w:rFonts w:hint="eastAsia" w:ascii="宋体" w:hAnsi="宋体" w:cs="仿宋_GB2312"/>
                <w:snapToGrid w:val="0"/>
                <w:color w:val="000000"/>
                <w:kern w:val="0"/>
                <w:szCs w:val="21"/>
              </w:rPr>
              <w:t>区工业信息化和商务局、区供销社</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城市生活垃圾回收利用率达到</w:t>
            </w:r>
            <w:r>
              <w:rPr>
                <w:rFonts w:ascii="宋体" w:hAnsi="宋体" w:cs="仿宋_GB2312"/>
                <w:color w:val="000000"/>
                <w:szCs w:val="21"/>
              </w:rPr>
              <w:t>35%</w:t>
            </w:r>
            <w:r>
              <w:rPr>
                <w:rFonts w:hint="eastAsia" w:ascii="宋体" w:hAnsi="宋体" w:cs="仿宋_GB2312"/>
                <w:color w:val="000000"/>
                <w:szCs w:val="21"/>
              </w:rPr>
              <w:t>以上，无害化处理率</w:t>
            </w:r>
            <w:r>
              <w:rPr>
                <w:rFonts w:ascii="宋体" w:hAnsi="宋体" w:cs="仿宋_GB2312"/>
                <w:color w:val="000000"/>
                <w:szCs w:val="21"/>
              </w:rPr>
              <w:t>100%</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协助市直相关部门，做好船舶污染物“船</w:t>
            </w:r>
            <w:r>
              <w:rPr>
                <w:rFonts w:ascii="宋体" w:hAnsi="宋体" w:cs="仿宋_GB2312"/>
                <w:color w:val="000000"/>
                <w:szCs w:val="21"/>
              </w:rPr>
              <w:t>-</w:t>
            </w:r>
            <w:r>
              <w:rPr>
                <w:rFonts w:hint="eastAsia" w:ascii="宋体" w:hAnsi="宋体" w:cs="仿宋_GB2312"/>
                <w:color w:val="000000"/>
                <w:szCs w:val="21"/>
              </w:rPr>
              <w:t>港</w:t>
            </w:r>
            <w:r>
              <w:rPr>
                <w:rFonts w:ascii="宋体" w:hAnsi="宋体" w:cs="仿宋_GB2312"/>
                <w:color w:val="000000"/>
                <w:szCs w:val="21"/>
              </w:rPr>
              <w:t>-</w:t>
            </w:r>
            <w:r>
              <w:rPr>
                <w:rFonts w:hint="eastAsia" w:ascii="宋体" w:hAnsi="宋体" w:cs="仿宋_GB2312"/>
                <w:color w:val="000000"/>
                <w:szCs w:val="21"/>
              </w:rPr>
              <w:t>城”“收集</w:t>
            </w:r>
            <w:r>
              <w:rPr>
                <w:rFonts w:ascii="宋体" w:hAnsi="宋体" w:cs="仿宋_GB2312"/>
                <w:color w:val="000000"/>
                <w:szCs w:val="21"/>
              </w:rPr>
              <w:t>-</w:t>
            </w:r>
            <w:r>
              <w:rPr>
                <w:rFonts w:hint="eastAsia" w:ascii="宋体" w:hAnsi="宋体" w:cs="仿宋_GB2312"/>
                <w:color w:val="000000"/>
                <w:szCs w:val="21"/>
              </w:rPr>
              <w:t>接受</w:t>
            </w:r>
            <w:r>
              <w:rPr>
                <w:rFonts w:ascii="宋体" w:hAnsi="宋体" w:cs="仿宋_GB2312"/>
                <w:color w:val="000000"/>
                <w:szCs w:val="21"/>
              </w:rPr>
              <w:t>-</w:t>
            </w:r>
            <w:r>
              <w:rPr>
                <w:rFonts w:hint="eastAsia" w:ascii="宋体" w:hAnsi="宋体" w:cs="仿宋_GB2312"/>
                <w:color w:val="000000"/>
                <w:szCs w:val="21"/>
              </w:rPr>
              <w:t>转运</w:t>
            </w:r>
            <w:r>
              <w:rPr>
                <w:rFonts w:ascii="宋体" w:hAnsi="宋体" w:cs="仿宋_GB2312"/>
                <w:color w:val="000000"/>
                <w:szCs w:val="21"/>
              </w:rPr>
              <w:t>-</w:t>
            </w:r>
            <w:r>
              <w:rPr>
                <w:rFonts w:hint="eastAsia" w:ascii="宋体" w:hAnsi="宋体" w:cs="仿宋_GB2312"/>
                <w:color w:val="000000"/>
                <w:szCs w:val="21"/>
              </w:rPr>
              <w:t>处置”相关工作。</w:t>
            </w:r>
          </w:p>
        </w:tc>
        <w:tc>
          <w:tcPr>
            <w:tcW w:w="1785" w:type="dxa"/>
            <w:noWrap w:val="0"/>
            <w:vAlign w:val="center"/>
          </w:tcPr>
          <w:p>
            <w:pPr>
              <w:spacing w:line="320" w:lineRule="exact"/>
              <w:jc w:val="center"/>
              <w:textAlignment w:val="center"/>
              <w:rPr>
                <w:rFonts w:ascii="宋体" w:hAnsi="宋体" w:cs="仿宋_GB2312"/>
                <w:color w:val="FF0000"/>
                <w:szCs w:val="21"/>
                <w:u w:val="single"/>
              </w:rPr>
            </w:pPr>
            <w:r>
              <w:rPr>
                <w:rFonts w:hint="eastAsia" w:ascii="宋体" w:hAnsi="宋体" w:cs="仿宋_GB2312"/>
                <w:color w:val="000000"/>
                <w:szCs w:val="21"/>
              </w:rPr>
              <w:t>区住房城乡建设局</w:t>
            </w:r>
            <w:r>
              <w:rPr>
                <w:rFonts w:hint="eastAsia" w:ascii="宋体" w:hAnsi="宋体" w:cs="仿宋_GB2312"/>
                <w:szCs w:val="21"/>
              </w:rPr>
              <w:t>、区城管执法局、区生态环境分局、区发展改革局、区工业信息化和商务局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szCs w:val="21"/>
              </w:rPr>
              <w:t>（十四）城市生活污水集中收集率≥</w:t>
            </w:r>
            <w:r>
              <w:rPr>
                <w:rFonts w:ascii="宋体" w:hAnsi="宋体" w:cs="仿宋_GB2312"/>
                <w:szCs w:val="21"/>
              </w:rPr>
              <w:t>80%</w:t>
            </w:r>
            <w:r>
              <w:rPr>
                <w:rFonts w:hint="eastAsia" w:ascii="宋体" w:hAnsi="宋体" w:cs="仿宋_GB2312"/>
                <w:szCs w:val="21"/>
              </w:rPr>
              <w:t>，城市生活污水集中处理率≥</w:t>
            </w:r>
            <w:r>
              <w:rPr>
                <w:rFonts w:ascii="宋体" w:hAnsi="宋体" w:cs="仿宋_GB2312"/>
                <w:szCs w:val="21"/>
              </w:rPr>
              <w:t>95%</w:t>
            </w:r>
            <w:r>
              <w:rPr>
                <w:rFonts w:hint="eastAsia" w:ascii="宋体" w:hAnsi="宋体" w:cs="仿宋_GB2312"/>
                <w:szCs w:val="21"/>
              </w:rPr>
              <w:t>。加强城市排水管网与港口作业区的连接，逐步提高覆盖度。</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szCs w:val="21"/>
              </w:rPr>
              <w:t>加强城市排水管网与港口作业区的连接，逐步提高覆盖度。</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区住房城乡建设局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szCs w:val="21"/>
              </w:rPr>
              <w:t>城市生活污水集中收集率≥</w:t>
            </w:r>
            <w:r>
              <w:rPr>
                <w:rFonts w:ascii="宋体" w:hAnsi="宋体" w:cs="仿宋_GB2312"/>
                <w:szCs w:val="21"/>
              </w:rPr>
              <w:t>80%</w:t>
            </w:r>
            <w:r>
              <w:rPr>
                <w:rFonts w:hint="eastAsia" w:ascii="宋体" w:hAnsi="宋体" w:cs="仿宋_GB2312"/>
                <w:szCs w:val="21"/>
              </w:rPr>
              <w:t>，城市生活污水集中处理率≥</w:t>
            </w:r>
            <w:r>
              <w:rPr>
                <w:rFonts w:ascii="宋体" w:hAnsi="宋体" w:cs="仿宋_GB2312"/>
                <w:szCs w:val="21"/>
              </w:rPr>
              <w:t>95%</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817" w:type="dxa"/>
            <w:vMerge w:val="restart"/>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三、</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市容环境卫生</w:t>
            </w:r>
          </w:p>
        </w:tc>
        <w:tc>
          <w:tcPr>
            <w:tcW w:w="3611"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（十五）公共厕所设置符合相关标准要求，数量充足，干净整洁。城市主次干道、车站、医疗机构、机场、港口、旅游景点、集贸市场、商场等公共场所的公厕设施不低于二类标准，建成区卫生厕所全覆盖。</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公共厕所设置符合相关标准要求，数量充足，干净整洁。</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区城管执法局、区卫生健康局、区住房城乡建设局、区文化旅游体育局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color w:val="000000"/>
                <w:szCs w:val="21"/>
              </w:rPr>
              <w:t>各镇（街道）政府（办事处）、</w:t>
            </w:r>
            <w:r>
              <w:rPr>
                <w:rFonts w:hint="eastAsia" w:ascii="宋体" w:hAnsi="宋体" w:cs="仿宋_GB2312"/>
                <w:szCs w:val="21"/>
              </w:rPr>
              <w:t>市市场物业总站</w:t>
            </w:r>
          </w:p>
        </w:tc>
        <w:tc>
          <w:tcPr>
            <w:tcW w:w="1980" w:type="dxa"/>
            <w:noWrap w:val="0"/>
            <w:vAlign w:val="center"/>
          </w:tcPr>
          <w:p>
            <w:pPr>
              <w:spacing w:line="280" w:lineRule="exact"/>
              <w:textAlignment w:val="center"/>
              <w:rPr>
                <w:rFonts w:ascii="宋体" w:hAnsi="宋体" w:cs="仿宋_GB2312"/>
                <w:color w:val="000000"/>
                <w:spacing w:val="-2"/>
                <w:szCs w:val="21"/>
              </w:rPr>
            </w:pPr>
            <w:r>
              <w:rPr>
                <w:rFonts w:hint="eastAsia" w:ascii="宋体" w:hAnsi="宋体" w:cs="仿宋_GB2312"/>
                <w:color w:val="000000"/>
                <w:spacing w:val="-2"/>
                <w:szCs w:val="21"/>
              </w:rPr>
              <w:t>城市主次干道、车站、医疗机构、机场、港口、旅游景点、集贸市场、商场等公共场所的公厕设施不低于二类标准，建成区卫生厕所全覆盖。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17" w:type="dxa"/>
            <w:vMerge w:val="continue"/>
            <w:noWrap w:val="0"/>
            <w:vAlign w:val="center"/>
          </w:tcPr>
          <w:p>
            <w:pPr>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十六）农产品市场管理规范，科学设置经营区域，实行生熟分开、干湿分离；兼营零售业务的农产品批发市场，应当做到批发与零售业务分区域或分时段经营。农产品批发市场设施设备应符合卫生防疫和食品安全要求。农产品零售市场应配备卫生管理和保洁人员，环卫设施齐全、干净整洁。市场活禽销售区域应相对独立设置，实行隔离宰杀，落实定期休市和清洗消毒制度，对废弃物实施规范处理，逐步实现市场无活禽宰杀。临时便民市场采取有效管理制度，保证周边市容环境卫生、交通秩序和群众正常生活秩序。流动商贩管理规范。无使用厚度小于</w:t>
            </w:r>
            <w:r>
              <w:rPr>
                <w:rFonts w:ascii="宋体" w:hAnsi="宋体" w:cs="仿宋_GB2312"/>
                <w:color w:val="000000"/>
                <w:szCs w:val="21"/>
              </w:rPr>
              <w:t>0.025</w:t>
            </w:r>
            <w:r>
              <w:rPr>
                <w:rFonts w:hint="eastAsia" w:ascii="宋体" w:hAnsi="宋体" w:cs="仿宋_GB2312"/>
                <w:color w:val="000000"/>
                <w:szCs w:val="21"/>
              </w:rPr>
              <w:t>毫米的超薄塑料购物袋现象。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农产品市场管理规范，科学设置经营区域，实行生熟分开、干湿分离。</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市场开办者、区市场监管局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兼营零售业务的农产品批发市场，应当做到批发与零售业务分区域或分时段经营。</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市场开办者、区市场监管局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农产品批发市场设施设备应符合卫生防疫和食品安全要求。</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市场开办者、区市场监管局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农产品零售市场应配备卫生管理和保洁人员，环卫设施齐全、干净整洁。</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区城管执法局、各镇（街道）政府（办事处）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5.</w:t>
            </w:r>
            <w:r>
              <w:rPr>
                <w:rFonts w:hint="eastAsia" w:ascii="宋体" w:hAnsi="宋体" w:cs="仿宋_GB2312"/>
                <w:color w:val="000000"/>
                <w:szCs w:val="21"/>
              </w:rPr>
              <w:t>市场活禽销售区域应相对独立设置，实行隔离宰杀，落实定期休市和清洗消毒制度，对废弃物实施规范处理，逐步实现市场无活禽宰杀。</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市场开办者、区市场监管局、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szCs w:val="21"/>
              </w:rPr>
              <w:t>区食安委成员单位、</w:t>
            </w:r>
            <w:r>
              <w:rPr>
                <w:rFonts w:hint="eastAsia" w:ascii="宋体" w:hAnsi="宋体" w:cs="仿宋_GB2312"/>
                <w:kern w:val="0"/>
                <w:szCs w:val="21"/>
              </w:rPr>
              <w:t>各镇（街道）政府（办事处）</w:t>
            </w:r>
          </w:p>
        </w:tc>
        <w:tc>
          <w:tcPr>
            <w:tcW w:w="1980" w:type="dxa"/>
            <w:noWrap w:val="0"/>
            <w:vAlign w:val="top"/>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6.</w:t>
            </w:r>
            <w:r>
              <w:rPr>
                <w:rFonts w:hint="eastAsia" w:ascii="宋体" w:hAnsi="宋体" w:cs="仿宋_GB2312"/>
                <w:color w:val="000000"/>
                <w:szCs w:val="21"/>
              </w:rPr>
              <w:t>临时便民市场采取有效管理制度，保证周边市容环境卫生、交通秩序和群众正常生活秩序。流动商贩管理规范。</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szCs w:val="21"/>
              </w:rPr>
              <w:t>市场开办者、区城管执法局、区市场监管局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各镇（街道）政府（办事处）、各村（社区）</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无使用厚度小于</w:t>
            </w:r>
            <w:r>
              <w:rPr>
                <w:rFonts w:ascii="宋体" w:hAnsi="宋体" w:cs="仿宋_GB2312"/>
                <w:color w:val="000000"/>
                <w:szCs w:val="21"/>
              </w:rPr>
              <w:t>0.025</w:t>
            </w:r>
            <w:r>
              <w:rPr>
                <w:rFonts w:hint="eastAsia" w:ascii="宋体" w:hAnsi="宋体" w:cs="仿宋_GB2312"/>
                <w:color w:val="000000"/>
                <w:szCs w:val="21"/>
              </w:rPr>
              <w:t>毫米的超薄塑料购物袋现象。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三、</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市容环境卫生</w:t>
            </w:r>
          </w:p>
        </w:tc>
        <w:tc>
          <w:tcPr>
            <w:tcW w:w="3611"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（十七）本地区农产品批发市场符合《农产品批发市场管理技术规范》（</w:t>
            </w:r>
            <w:r>
              <w:rPr>
                <w:rFonts w:ascii="宋体" w:hAnsi="宋体" w:cs="仿宋_GB2312"/>
                <w:color w:val="000000"/>
                <w:szCs w:val="21"/>
              </w:rPr>
              <w:t>GB/T19575</w:t>
            </w:r>
            <w:r>
              <w:rPr>
                <w:rFonts w:hint="eastAsia" w:ascii="宋体" w:hAnsi="宋体" w:cs="仿宋_GB2312"/>
                <w:color w:val="000000"/>
                <w:szCs w:val="21"/>
              </w:rPr>
              <w:t>）。农贸市场、社区菜市场等零售市场达到《农贸市场管理技术规范》（</w:t>
            </w:r>
            <w:r>
              <w:rPr>
                <w:rFonts w:ascii="宋体" w:hAnsi="宋体" w:cs="仿宋_GB2312"/>
                <w:color w:val="000000"/>
                <w:szCs w:val="21"/>
              </w:rPr>
              <w:t>GB/T21720</w:t>
            </w:r>
            <w:r>
              <w:rPr>
                <w:rFonts w:hint="eastAsia" w:ascii="宋体" w:hAnsi="宋体" w:cs="仿宋_GB2312"/>
                <w:color w:val="000000"/>
                <w:szCs w:val="21"/>
              </w:rPr>
              <w:t>）、《社区菜店设置要求和管理规范》（</w:t>
            </w:r>
            <w:r>
              <w:rPr>
                <w:rFonts w:ascii="宋体" w:hAnsi="宋体" w:cs="仿宋_GB2312"/>
                <w:color w:val="000000"/>
                <w:szCs w:val="21"/>
              </w:rPr>
              <w:t>SB/T11023</w:t>
            </w:r>
            <w:r>
              <w:rPr>
                <w:rFonts w:hint="eastAsia" w:ascii="宋体" w:hAnsi="宋体" w:cs="仿宋_GB2312"/>
                <w:color w:val="000000"/>
                <w:szCs w:val="21"/>
              </w:rPr>
              <w:t>）等相关标准要求比例≥</w:t>
            </w:r>
            <w:r>
              <w:rPr>
                <w:rFonts w:ascii="宋体" w:hAnsi="宋体" w:cs="仿宋_GB2312"/>
                <w:color w:val="000000"/>
                <w:szCs w:val="21"/>
              </w:rPr>
              <w:t>70%</w:t>
            </w:r>
            <w:r>
              <w:rPr>
                <w:rFonts w:hint="eastAsia" w:ascii="宋体" w:hAnsi="宋体" w:cs="仿宋_GB2312"/>
                <w:color w:val="000000"/>
                <w:szCs w:val="21"/>
              </w:rPr>
              <w:t>。</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本地区农产品批发市场符合《农产品批发市场管理技术规范》（</w:t>
            </w:r>
            <w:r>
              <w:rPr>
                <w:rFonts w:ascii="宋体" w:hAnsi="宋体" w:cs="仿宋_GB2312"/>
                <w:color w:val="000000"/>
                <w:szCs w:val="21"/>
              </w:rPr>
              <w:t>GB/T19575</w:t>
            </w:r>
            <w:r>
              <w:rPr>
                <w:rFonts w:hint="eastAsia" w:ascii="宋体" w:hAnsi="宋体" w:cs="仿宋_GB2312"/>
                <w:color w:val="000000"/>
                <w:szCs w:val="21"/>
              </w:rPr>
              <w:t>）。农贸市场、社区菜市场等零售市场达到《农贸市场管理技术规范》（</w:t>
            </w:r>
            <w:r>
              <w:rPr>
                <w:rFonts w:ascii="宋体" w:hAnsi="宋体" w:cs="仿宋_GB2312"/>
                <w:color w:val="000000"/>
                <w:szCs w:val="21"/>
              </w:rPr>
              <w:t>GB/T21720</w:t>
            </w:r>
            <w:r>
              <w:rPr>
                <w:rFonts w:hint="eastAsia" w:ascii="宋体" w:hAnsi="宋体" w:cs="仿宋_GB2312"/>
                <w:color w:val="000000"/>
                <w:szCs w:val="21"/>
              </w:rPr>
              <w:t>）、《社区菜店设置要求和管理规范》（</w:t>
            </w:r>
            <w:r>
              <w:rPr>
                <w:rFonts w:ascii="宋体" w:hAnsi="宋体" w:cs="仿宋_GB2312"/>
                <w:color w:val="000000"/>
                <w:szCs w:val="21"/>
              </w:rPr>
              <w:t>SB/T11023</w:t>
            </w:r>
            <w:r>
              <w:rPr>
                <w:rFonts w:hint="eastAsia" w:ascii="宋体" w:hAnsi="宋体" w:cs="仿宋_GB2312"/>
                <w:color w:val="000000"/>
                <w:szCs w:val="21"/>
              </w:rPr>
              <w:t>）等相关标准要求比例≥</w:t>
            </w:r>
            <w:r>
              <w:rPr>
                <w:rFonts w:ascii="宋体" w:hAnsi="宋体" w:cs="仿宋_GB2312"/>
                <w:color w:val="000000"/>
                <w:szCs w:val="21"/>
              </w:rPr>
              <w:t>70%</w:t>
            </w:r>
            <w:r>
              <w:rPr>
                <w:rFonts w:hint="eastAsia" w:ascii="宋体" w:hAnsi="宋体" w:cs="仿宋_GB2312"/>
                <w:color w:val="000000"/>
                <w:szCs w:val="21"/>
              </w:rPr>
              <w:t>。</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szCs w:val="21"/>
              </w:rPr>
              <w:t>区工业信息化和商务局</w:t>
            </w:r>
          </w:p>
        </w:tc>
        <w:tc>
          <w:tcPr>
            <w:tcW w:w="2340" w:type="dxa"/>
            <w:noWrap w:val="0"/>
            <w:vAlign w:val="center"/>
          </w:tcPr>
          <w:p>
            <w:pPr>
              <w:spacing w:line="320" w:lineRule="exact"/>
              <w:jc w:val="center"/>
              <w:textAlignment w:val="center"/>
              <w:rPr>
                <w:rFonts w:ascii="宋体" w:hAnsi="宋体" w:cs="仿宋_GB2312"/>
                <w:kern w:val="0"/>
                <w:szCs w:val="21"/>
              </w:rPr>
            </w:pPr>
            <w:r>
              <w:rPr>
                <w:rFonts w:hint="eastAsia" w:ascii="宋体" w:hAnsi="宋体" w:cs="仿宋_GB2312"/>
                <w:kern w:val="0"/>
                <w:szCs w:val="21"/>
              </w:rPr>
              <w:t>市场开办者、</w:t>
            </w:r>
            <w:r>
              <w:rPr>
                <w:rFonts w:hint="eastAsia" w:ascii="宋体" w:hAnsi="宋体" w:cs="仿宋_GB2312"/>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农贸市场、社区菜市场等零售市场达到相关标准要求比例≥</w:t>
            </w:r>
            <w:r>
              <w:rPr>
                <w:rFonts w:ascii="宋体" w:hAnsi="宋体" w:cs="仿宋_GB2312"/>
                <w:color w:val="000000"/>
                <w:szCs w:val="21"/>
              </w:rPr>
              <w:t>70%</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（十八）建成区和城乡结合部无违规饲养活禽和野生动物现象。各类集贸市场、花鸟宠物市场及动物交易市场，无非法交易和宰杀野生动物现象。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建成区和城乡结合部无违规饲养活禽和野生动物现象。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szCs w:val="21"/>
              </w:rPr>
              <w:t>区农业农村局、区公安分局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各类集贸市场、花鸟宠物市场及动物交易市场，无非法交易和宰杀野生动物现象。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区农业农村局、区市场监管局</w:t>
            </w:r>
          </w:p>
        </w:tc>
        <w:tc>
          <w:tcPr>
            <w:tcW w:w="2340"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kern w:val="0"/>
                <w:szCs w:val="21"/>
              </w:rPr>
              <w:t>市场开办者、</w:t>
            </w:r>
            <w:r>
              <w:rPr>
                <w:rFonts w:hint="eastAsia" w:ascii="宋体" w:hAnsi="宋体" w:cs="仿宋_GB2312"/>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（十九）社区和单位建有卫生管理组织和相关制度</w:t>
            </w:r>
            <w:r>
              <w:rPr>
                <w:rFonts w:ascii="宋体" w:hAnsi="宋体" w:cs="仿宋_GB2312"/>
                <w:color w:val="000000"/>
                <w:szCs w:val="21"/>
              </w:rPr>
              <w:t>,</w:t>
            </w:r>
            <w:r>
              <w:rPr>
                <w:rFonts w:hint="eastAsia" w:ascii="宋体" w:hAnsi="宋体" w:cs="仿宋_GB2312"/>
                <w:color w:val="000000"/>
                <w:szCs w:val="21"/>
              </w:rPr>
              <w:t>卫生状况良好，环卫设施完善，垃圾日产日清，公共厕所符合卫生要求。道路平坦，绿化美化，无乱搭乱建、乱堆乱摆、乱停乱放、乱贴乱画、乱扔乱倒现象。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社区和单位建有卫生管理组织和相关制度</w:t>
            </w:r>
            <w:r>
              <w:rPr>
                <w:rFonts w:ascii="宋体" w:hAnsi="宋体" w:cs="仿宋_GB2312"/>
                <w:color w:val="000000"/>
                <w:szCs w:val="21"/>
              </w:rPr>
              <w:t>,</w:t>
            </w:r>
            <w:r>
              <w:rPr>
                <w:rFonts w:hint="eastAsia" w:ascii="宋体" w:hAnsi="宋体" w:cs="仿宋_GB2312"/>
                <w:color w:val="000000"/>
                <w:szCs w:val="21"/>
              </w:rPr>
              <w:t>卫生状况良好，环卫设施完善，垃圾日产日清，公共厕所符合卫生要求。道路平坦，绿化美化，无乱搭乱建、乱堆乱摆、乱停乱放、乱贴乱画、乱扔乱倒现象。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trPr>
        <w:tc>
          <w:tcPr>
            <w:tcW w:w="817" w:type="dxa"/>
            <w:vMerge w:val="continue"/>
            <w:noWrap w:val="0"/>
            <w:vAlign w:val="center"/>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b/>
                <w:color w:val="000000"/>
                <w:szCs w:val="21"/>
              </w:rPr>
            </w:pPr>
          </w:p>
        </w:tc>
        <w:tc>
          <w:tcPr>
            <w:tcW w:w="3795" w:type="dxa"/>
            <w:noWrap w:val="0"/>
            <w:vAlign w:val="center"/>
          </w:tcPr>
          <w:p>
            <w:pPr>
              <w:spacing w:line="320" w:lineRule="exact"/>
              <w:textAlignment w:val="center"/>
              <w:rPr>
                <w:rFonts w:ascii="宋体" w:hAnsi="宋体" w:cs="仿宋_GB2312"/>
                <w:b/>
                <w:color w:val="000000"/>
                <w:szCs w:val="21"/>
              </w:rPr>
            </w:pPr>
            <w:r>
              <w:rPr>
                <w:rFonts w:ascii="宋体" w:hAnsi="宋体" w:cs="仿宋_GB2312"/>
                <w:color w:val="000000"/>
                <w:szCs w:val="21"/>
              </w:rPr>
              <w:t>2.</w:t>
            </w:r>
            <w:r>
              <w:rPr>
                <w:rFonts w:hint="eastAsia" w:ascii="宋体" w:hAnsi="宋体" w:cs="仿宋_GB2312"/>
                <w:color w:val="000000"/>
                <w:szCs w:val="21"/>
              </w:rPr>
              <w:t>驻地部队要发扬拥政爱民优良传统，积极参与巩卫、爱国卫生运动，支持地方开展环境卫生整治。</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区人武部</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驻揭部队</w:t>
            </w:r>
          </w:p>
        </w:tc>
        <w:tc>
          <w:tcPr>
            <w:tcW w:w="1980" w:type="dxa"/>
            <w:noWrap w:val="0"/>
            <w:vAlign w:val="center"/>
          </w:tcPr>
          <w:p>
            <w:pPr>
              <w:spacing w:line="320" w:lineRule="exact"/>
              <w:textAlignment w:val="center"/>
              <w:rPr>
                <w:rFonts w:ascii="宋体" w:hAnsi="宋体"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三、</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市容环境卫生</w:t>
            </w:r>
          </w:p>
        </w:tc>
        <w:tc>
          <w:tcPr>
            <w:tcW w:w="3611" w:type="dxa"/>
            <w:vMerge w:val="restart"/>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二十）城中村和城乡结合部建有配套生活污水排放设施及充足的垃圾收集、废旧物资回收、公共厕所等环卫设施，卫生清扫保洁及时，日常管理规范，垃圾日产日清；道路硬底化平整，主要道路配备路灯，普及卫生户厕；无乱搭乱建、乱堆乱摆、乱停乱放、乱贴乱画、乱扔乱倒现象。</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城中村和城乡结合部建有配套生活污水排放设施。</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区住房城乡建设局、各镇（街道）政府（办事处）</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城中村和城乡结合部建有充足的垃圾收集、废旧物资回收、公共厕所等环卫设施，卫生清扫保洁及时，日常管理规范，垃圾日产日清。</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w:t>
            </w:r>
            <w:r>
              <w:rPr>
                <w:rFonts w:hint="eastAsia" w:ascii="宋体" w:hAnsi="宋体" w:cs="仿宋_GB2312"/>
                <w:szCs w:val="21"/>
              </w:rPr>
              <w:t>城管执法局、区工业信息化和商务局、区供销社</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szCs w:val="21"/>
              </w:rPr>
            </w:pPr>
            <w:r>
              <w:rPr>
                <w:rFonts w:ascii="宋体" w:hAnsi="宋体" w:cs="仿宋_GB2312"/>
                <w:szCs w:val="21"/>
              </w:rPr>
              <w:t>3.</w:t>
            </w:r>
            <w:r>
              <w:rPr>
                <w:rFonts w:hint="eastAsia" w:ascii="宋体" w:hAnsi="宋体" w:cs="仿宋_GB2312"/>
                <w:szCs w:val="21"/>
              </w:rPr>
              <w:t>城中村和城乡结合部道路硬底化平整，主要道路配备路灯，普及卫生户厕；无乱搭乱建、乱堆乱摆、乱停乱放、乱贴乱画、乱扔乱倒现象。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（二十一）加强铁路两侧环境整治，定期组织开展铁路外部环境问题整治，对露天堆放的生活垃圾、建筑垃圾等轻飘物品及时清理到位，消除铁路沿线安全保护区内倾倒垃圾、排污等现象。</w:t>
            </w:r>
          </w:p>
        </w:tc>
        <w:tc>
          <w:tcPr>
            <w:tcW w:w="3795" w:type="dxa"/>
            <w:noWrap w:val="0"/>
            <w:vAlign w:val="center"/>
          </w:tcPr>
          <w:p>
            <w:pPr>
              <w:spacing w:line="320" w:lineRule="exact"/>
              <w:textAlignment w:val="center"/>
              <w:rPr>
                <w:rFonts w:ascii="宋体" w:hAnsi="宋体" w:cs="仿宋_GB2312"/>
                <w:szCs w:val="21"/>
              </w:rPr>
            </w:pPr>
            <w:r>
              <w:rPr>
                <w:rFonts w:hint="eastAsia" w:ascii="宋体" w:hAnsi="宋体" w:cs="仿宋_GB2312"/>
                <w:szCs w:val="21"/>
              </w:rPr>
              <w:t>加强铁路两侧环境整治，定期组织开展铁路外部环境问题整治，对露天堆放的生活垃圾、建筑垃圾等轻飘物品及时清理到位，消除铁路沿线安全保护区内倾倒垃圾、排污等现象。</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kern w:val="0"/>
                <w:szCs w:val="21"/>
              </w:rPr>
              <w:t>各镇（街道）政府（办事处）</w:t>
            </w:r>
            <w:r>
              <w:rPr>
                <w:rFonts w:hint="eastAsia" w:ascii="宋体" w:hAnsi="宋体" w:cs="仿宋_GB2312"/>
                <w:color w:val="000000"/>
                <w:szCs w:val="21"/>
              </w:rPr>
              <w:t>、区</w:t>
            </w:r>
            <w:r>
              <w:rPr>
                <w:rFonts w:hint="eastAsia" w:ascii="宋体" w:hAnsi="宋体" w:cs="仿宋_GB2312"/>
                <w:szCs w:val="21"/>
              </w:rPr>
              <w:t>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817" w:type="dxa"/>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四、</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环境保护</w:t>
            </w:r>
          </w:p>
        </w:tc>
        <w:tc>
          <w:tcPr>
            <w:tcW w:w="3611"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（二十二）近</w:t>
            </w:r>
            <w:r>
              <w:rPr>
                <w:rFonts w:ascii="宋体" w:hAnsi="宋体" w:cs="仿宋_GB2312"/>
                <w:color w:val="000000"/>
                <w:szCs w:val="21"/>
              </w:rPr>
              <w:t>3</w:t>
            </w:r>
            <w:r>
              <w:rPr>
                <w:rFonts w:hint="eastAsia" w:ascii="宋体" w:hAnsi="宋体" w:cs="仿宋_GB2312"/>
                <w:color w:val="000000"/>
                <w:szCs w:val="21"/>
              </w:rPr>
              <w:t>年辖区内未发生重大环境污染和生态破坏事故。</w:t>
            </w:r>
          </w:p>
        </w:tc>
        <w:tc>
          <w:tcPr>
            <w:tcW w:w="3795" w:type="dxa"/>
            <w:noWrap w:val="0"/>
            <w:vAlign w:val="center"/>
          </w:tcPr>
          <w:p>
            <w:pPr>
              <w:spacing w:line="320" w:lineRule="exact"/>
              <w:textAlignment w:val="center"/>
              <w:rPr>
                <w:rFonts w:ascii="宋体" w:hAnsi="宋体" w:cs="仿宋_GB2312"/>
                <w:color w:val="000000"/>
                <w:szCs w:val="21"/>
              </w:rPr>
            </w:pP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区生态环境分局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szCs w:val="21"/>
              </w:rPr>
              <w:t>近</w:t>
            </w:r>
            <w:r>
              <w:rPr>
                <w:rFonts w:ascii="宋体" w:hAnsi="宋体" w:cs="仿宋_GB2312"/>
                <w:szCs w:val="21"/>
              </w:rPr>
              <w:t>3</w:t>
            </w:r>
            <w:r>
              <w:rPr>
                <w:rFonts w:hint="eastAsia" w:ascii="宋体" w:hAnsi="宋体" w:cs="仿宋_GB2312"/>
                <w:szCs w:val="21"/>
              </w:rPr>
              <w:t>年辖区内未发生重大环境污染和生态破坏事故。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817" w:type="dxa"/>
            <w:vMerge w:val="restart"/>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四、</w:t>
            </w:r>
          </w:p>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环境</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保护</w:t>
            </w:r>
          </w:p>
        </w:tc>
        <w:tc>
          <w:tcPr>
            <w:tcW w:w="3611"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（二十三）环境空气质量指数（</w:t>
            </w:r>
            <w:r>
              <w:rPr>
                <w:rFonts w:ascii="宋体" w:hAnsi="宋体" w:cs="仿宋_GB2312"/>
                <w:color w:val="000000"/>
                <w:szCs w:val="21"/>
              </w:rPr>
              <w:t>AQI</w:t>
            </w:r>
            <w:r>
              <w:rPr>
                <w:rFonts w:hint="eastAsia" w:ascii="宋体" w:hAnsi="宋体" w:cs="仿宋_GB2312"/>
                <w:color w:val="000000"/>
                <w:szCs w:val="21"/>
              </w:rPr>
              <w:t>）不超过</w:t>
            </w:r>
            <w:r>
              <w:rPr>
                <w:rFonts w:ascii="宋体" w:hAnsi="宋体" w:cs="仿宋_GB2312"/>
                <w:color w:val="000000"/>
                <w:szCs w:val="21"/>
              </w:rPr>
              <w:t>100</w:t>
            </w:r>
            <w:r>
              <w:rPr>
                <w:rFonts w:hint="eastAsia" w:ascii="宋体" w:hAnsi="宋体" w:cs="仿宋_GB2312"/>
                <w:color w:val="000000"/>
                <w:szCs w:val="21"/>
              </w:rPr>
              <w:t>的天数达到国务院下达的大气污染防治规划目标，环境空气主要污染物年均值达到国家《环境空气质量标准》二级标准。</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环境空气质量指数（</w:t>
            </w:r>
            <w:r>
              <w:rPr>
                <w:rFonts w:ascii="宋体" w:hAnsi="宋体" w:cs="仿宋_GB2312"/>
                <w:color w:val="000000"/>
                <w:szCs w:val="21"/>
              </w:rPr>
              <w:t>AQI</w:t>
            </w:r>
            <w:r>
              <w:rPr>
                <w:rFonts w:hint="eastAsia" w:ascii="宋体" w:hAnsi="宋体" w:cs="仿宋_GB2312"/>
                <w:color w:val="000000"/>
                <w:szCs w:val="21"/>
              </w:rPr>
              <w:t>）不超过</w:t>
            </w:r>
            <w:r>
              <w:rPr>
                <w:rFonts w:ascii="宋体" w:hAnsi="宋体" w:cs="仿宋_GB2312"/>
                <w:color w:val="000000"/>
                <w:szCs w:val="21"/>
              </w:rPr>
              <w:t>100</w:t>
            </w:r>
            <w:r>
              <w:rPr>
                <w:rFonts w:hint="eastAsia" w:ascii="宋体" w:hAnsi="宋体" w:cs="仿宋_GB2312"/>
                <w:color w:val="000000"/>
                <w:szCs w:val="21"/>
              </w:rPr>
              <w:t>的天数达到国务院下达的大气污染防治规划目标。</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区生态环境分局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区污染防治攻坚指挥部成员单位</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环境空气主要污染物年均值达到国家《环境空气质量标准》二级标准。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17" w:type="dxa"/>
            <w:vMerge w:val="continue"/>
            <w:shd w:val="clear" w:color="auto" w:fill="auto"/>
            <w:noWrap w:val="0"/>
            <w:vAlign w:val="top"/>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（二十四）区域环境噪声平均值≤</w:t>
            </w:r>
            <w:r>
              <w:rPr>
                <w:rFonts w:ascii="宋体" w:hAnsi="宋体" w:cs="仿宋_GB2312"/>
                <w:color w:val="000000"/>
                <w:szCs w:val="21"/>
              </w:rPr>
              <w:t>60</w:t>
            </w:r>
            <w:r>
              <w:rPr>
                <w:rFonts w:hint="eastAsia" w:ascii="宋体" w:hAnsi="宋体" w:cs="仿宋_GB2312"/>
                <w:color w:val="000000"/>
                <w:szCs w:val="21"/>
              </w:rPr>
              <w:t>分贝。</w:t>
            </w:r>
          </w:p>
        </w:tc>
        <w:tc>
          <w:tcPr>
            <w:tcW w:w="3795" w:type="dxa"/>
            <w:noWrap w:val="0"/>
            <w:vAlign w:val="center"/>
          </w:tcPr>
          <w:p>
            <w:pPr>
              <w:spacing w:line="320" w:lineRule="exact"/>
              <w:textAlignment w:val="center"/>
              <w:rPr>
                <w:rFonts w:ascii="宋体" w:hAnsi="宋体" w:cs="仿宋_GB2312"/>
                <w:color w:val="000000"/>
                <w:szCs w:val="21"/>
              </w:rPr>
            </w:pP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区生态环境分局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区污染防治攻坚指挥部成员单位</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区域环境噪声平均值≤</w:t>
            </w:r>
            <w:r>
              <w:rPr>
                <w:rFonts w:ascii="宋体" w:hAnsi="宋体" w:cs="仿宋_GB2312"/>
                <w:color w:val="000000"/>
                <w:szCs w:val="21"/>
              </w:rPr>
              <w:t>60</w:t>
            </w:r>
            <w:r>
              <w:rPr>
                <w:rFonts w:hint="eastAsia" w:ascii="宋体" w:hAnsi="宋体" w:cs="仿宋_GB2312"/>
                <w:color w:val="000000"/>
                <w:szCs w:val="21"/>
              </w:rPr>
              <w:t>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817" w:type="dxa"/>
            <w:vMerge w:val="continue"/>
            <w:shd w:val="clear" w:color="auto" w:fill="auto"/>
            <w:noWrap w:val="0"/>
            <w:vAlign w:val="top"/>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（二十五）无烟囱排黑烟、乱排污水等现象，无黑臭水体。各级水功能区全部达到要求，未划定功能区的水质不低于四类。</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无烟囱排黑烟、乱排污水等现象，无黑臭水体。</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区生态环境分局、区</w:t>
            </w:r>
            <w:r>
              <w:rPr>
                <w:rFonts w:hint="eastAsia" w:ascii="宋体" w:hAnsi="宋体" w:cs="仿宋_GB2312"/>
                <w:szCs w:val="21"/>
              </w:rPr>
              <w:t>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区污染防治攻坚指挥部成员单位</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各级水功能区全部达到要求，未划定功能区的水质不低于四类。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817" w:type="dxa"/>
            <w:vMerge w:val="continue"/>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ascii="宋体" w:hAnsi="宋体" w:cs="仿宋_GB2312"/>
                <w:color w:val="000000"/>
                <w:szCs w:val="21"/>
              </w:rPr>
              <w:t>（</w:t>
            </w:r>
            <w:r>
              <w:rPr>
                <w:rFonts w:hint="eastAsia" w:ascii="宋体" w:hAnsi="宋体" w:cs="仿宋_GB2312"/>
                <w:color w:val="000000"/>
                <w:szCs w:val="21"/>
              </w:rPr>
              <w:t>二十六</w:t>
            </w:r>
            <w:r>
              <w:rPr>
                <w:rFonts w:ascii="宋体" w:hAnsi="宋体" w:cs="仿宋_GB2312"/>
                <w:color w:val="000000"/>
                <w:szCs w:val="21"/>
              </w:rPr>
              <w:t>）</w:t>
            </w:r>
            <w:r>
              <w:rPr>
                <w:rFonts w:hint="eastAsia" w:ascii="宋体" w:hAnsi="宋体" w:cs="仿宋_GB2312"/>
                <w:color w:val="000000"/>
                <w:szCs w:val="21"/>
              </w:rPr>
              <w:t>集中式饮用水水源地水质达标率</w:t>
            </w:r>
            <w:r>
              <w:rPr>
                <w:rFonts w:ascii="宋体" w:hAnsi="宋体" w:cs="仿宋_GB2312"/>
                <w:color w:val="000000"/>
                <w:szCs w:val="21"/>
              </w:rPr>
              <w:t>100%</w:t>
            </w:r>
            <w:r>
              <w:rPr>
                <w:rFonts w:hint="eastAsia" w:ascii="宋体" w:hAnsi="宋体" w:cs="仿宋_GB2312"/>
                <w:color w:val="000000"/>
                <w:szCs w:val="21"/>
              </w:rPr>
              <w:t>。辖区内重点河湖主要控制断面生态流量</w:t>
            </w:r>
            <w:r>
              <w:rPr>
                <w:rFonts w:ascii="宋体" w:hAnsi="宋体" w:cs="仿宋_GB2312"/>
                <w:color w:val="000000"/>
                <w:szCs w:val="21"/>
              </w:rPr>
              <w:t>（</w:t>
            </w:r>
            <w:r>
              <w:rPr>
                <w:rFonts w:hint="eastAsia" w:ascii="宋体" w:hAnsi="宋体" w:cs="仿宋_GB2312"/>
                <w:color w:val="000000"/>
                <w:szCs w:val="21"/>
              </w:rPr>
              <w:t>水量、水质</w:t>
            </w:r>
            <w:r>
              <w:rPr>
                <w:rFonts w:ascii="宋体" w:hAnsi="宋体" w:cs="仿宋_GB2312"/>
                <w:color w:val="000000"/>
                <w:szCs w:val="21"/>
              </w:rPr>
              <w:t>）</w:t>
            </w:r>
            <w:r>
              <w:rPr>
                <w:rFonts w:hint="eastAsia" w:ascii="宋体" w:hAnsi="宋体" w:cs="仿宋_GB2312"/>
                <w:color w:val="000000"/>
                <w:szCs w:val="21"/>
              </w:rPr>
              <w:t>目标达标。辖区内无地下水超采问题。</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szCs w:val="21"/>
              </w:rPr>
              <w:t>辖区内重点河湖主要控制断面生态流量</w:t>
            </w:r>
            <w:r>
              <w:rPr>
                <w:rFonts w:ascii="宋体" w:hAnsi="宋体" w:cs="仿宋_GB2312"/>
                <w:color w:val="000000"/>
                <w:szCs w:val="21"/>
              </w:rPr>
              <w:t>（</w:t>
            </w:r>
            <w:r>
              <w:rPr>
                <w:rFonts w:hint="eastAsia" w:ascii="宋体" w:hAnsi="宋体" w:cs="仿宋_GB2312"/>
                <w:color w:val="000000"/>
                <w:szCs w:val="21"/>
              </w:rPr>
              <w:t>水量、水质</w:t>
            </w:r>
            <w:r>
              <w:rPr>
                <w:rFonts w:ascii="宋体" w:hAnsi="宋体" w:cs="仿宋_GB2312"/>
                <w:color w:val="000000"/>
                <w:szCs w:val="21"/>
              </w:rPr>
              <w:t>）</w:t>
            </w:r>
            <w:r>
              <w:rPr>
                <w:rFonts w:hint="eastAsia" w:ascii="宋体" w:hAnsi="宋体" w:cs="仿宋_GB2312"/>
                <w:color w:val="000000"/>
                <w:szCs w:val="21"/>
              </w:rPr>
              <w:t>目标达标。辖区内无地下水超采问题。</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区生态环境分局、区农业农村局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szCs w:val="21"/>
              </w:rPr>
              <w:t>区污染防治攻坚指挥部成员单位</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集中式饮用水水源地水质达标率</w:t>
            </w:r>
            <w:r>
              <w:rPr>
                <w:rFonts w:ascii="宋体" w:hAnsi="宋体" w:cs="仿宋_GB2312"/>
                <w:color w:val="000000"/>
                <w:szCs w:val="21"/>
              </w:rPr>
              <w:t>100%</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color w:val="000000"/>
                <w:szCs w:val="21"/>
              </w:rPr>
              <w:t>二十七</w:t>
            </w:r>
            <w:r>
              <w:rPr>
                <w:rFonts w:ascii="宋体" w:hAnsi="宋体" w:cs="仿宋_GB2312"/>
                <w:color w:val="000000"/>
                <w:szCs w:val="21"/>
              </w:rPr>
              <w:t>）</w:t>
            </w:r>
            <w:r>
              <w:rPr>
                <w:rFonts w:hint="eastAsia" w:ascii="宋体" w:hAnsi="宋体" w:cs="仿宋_GB2312"/>
                <w:color w:val="000000"/>
                <w:szCs w:val="21"/>
              </w:rPr>
              <w:t>辖区内应建有符合条件的医疗废物集中处置设施，各类医疗废物处置能力应满足辖区内医疗卫生机构的处置需求，医疗卫生机构依法分类收集医疗废物，医疗废物统一由有资质的医疗废物集中处置单位处置。医疗污水收集、处理和消毒符合国家及地方有关要求。</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医疗卫生机构依法分类收集医疗废物，医疗废物统一由有资质的医疗废物集中处置单位处置。医疗污水收集、处理和消毒符合国家及地方有关要求。</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各级医疗卫生单位</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五、</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重点场所卫生</w:t>
            </w:r>
          </w:p>
        </w:tc>
        <w:tc>
          <w:tcPr>
            <w:tcW w:w="3611" w:type="dxa"/>
            <w:noWrap w:val="0"/>
            <w:vAlign w:val="center"/>
          </w:tcPr>
          <w:p>
            <w:pPr>
              <w:spacing w:line="320" w:lineRule="exact"/>
              <w:rPr>
                <w:rFonts w:ascii="宋体" w:hAnsi="宋体" w:cs="仿宋_GB2312"/>
                <w:szCs w:val="21"/>
              </w:rPr>
            </w:pPr>
            <w:r>
              <w:rPr>
                <w:rFonts w:ascii="宋体" w:hAnsi="宋体" w:cs="仿宋_GB2312"/>
                <w:szCs w:val="21"/>
              </w:rPr>
              <w:t>（</w:t>
            </w:r>
            <w:r>
              <w:rPr>
                <w:rFonts w:hint="eastAsia" w:ascii="宋体" w:hAnsi="宋体" w:cs="仿宋_GB2312"/>
                <w:szCs w:val="21"/>
              </w:rPr>
              <w:t>二十八</w:t>
            </w:r>
            <w:r>
              <w:rPr>
                <w:rFonts w:ascii="宋体" w:hAnsi="宋体" w:cs="仿宋_GB2312"/>
                <w:szCs w:val="21"/>
              </w:rPr>
              <w:t>）</w:t>
            </w:r>
            <w:r>
              <w:rPr>
                <w:rFonts w:hint="eastAsia" w:ascii="宋体" w:hAnsi="宋体" w:cs="仿宋_GB2312"/>
                <w:szCs w:val="21"/>
              </w:rPr>
              <w:t>公共场所实行卫生监督量化分级管理，公共场所卫生信誉度等级应向社会公示，并使用统一标识。卫生许可证件齐全有效或符合所在省级政府有关要求，从业人员取得有效健康合格证明。</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公共场所实行卫生监督量化分级管理，公共场所卫生信誉度等级应向社会公示，并使用统一标识。卫生许可证件齐全有效或符合所在省级政府有关要求，从业人员取得有效健康合格证明。</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817" w:type="dxa"/>
            <w:vMerge w:val="continue"/>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color w:val="000000"/>
                <w:szCs w:val="21"/>
              </w:rPr>
              <w:t>二十九</w:t>
            </w:r>
            <w:r>
              <w:rPr>
                <w:rFonts w:ascii="宋体" w:hAnsi="宋体" w:cs="仿宋_GB2312"/>
                <w:color w:val="000000"/>
                <w:szCs w:val="21"/>
              </w:rPr>
              <w:t>）</w:t>
            </w:r>
            <w:r>
              <w:rPr>
                <w:rFonts w:hint="eastAsia" w:ascii="宋体" w:hAnsi="宋体" w:cs="仿宋_GB2312"/>
                <w:color w:val="000000"/>
                <w:szCs w:val="21"/>
              </w:rPr>
              <w:t>小浴室、小美容美发店、小旅店等经营资格合法，室内外环境整洁，硬件设施符合相应国家标准要求，从业人员取得有效健康合格证明。</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color w:val="000000"/>
                <w:szCs w:val="21"/>
              </w:rPr>
              <w:t>小浴室、小美容美发店、小旅店等经营资格合法，室内外环境整洁，硬件设施符合相应国家标准要求，从业人员取得有效健康合格证明。</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各场所开办者</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w:t>
            </w:r>
            <w:r>
              <w:rPr>
                <w:rFonts w:ascii="宋体" w:hAnsi="宋体" w:cs="仿宋_GB2312"/>
                <w:szCs w:val="21"/>
              </w:rPr>
              <w:t>）</w:t>
            </w:r>
            <w:r>
              <w:rPr>
                <w:rFonts w:hint="eastAsia" w:ascii="宋体" w:hAnsi="宋体" w:cs="仿宋_GB2312"/>
                <w:szCs w:val="21"/>
              </w:rPr>
              <w:t>学校、幼儿园和托育机构的教室、食堂</w:t>
            </w:r>
            <w:r>
              <w:rPr>
                <w:rFonts w:ascii="宋体" w:hAnsi="宋体" w:cs="仿宋_GB2312"/>
                <w:szCs w:val="21"/>
              </w:rPr>
              <w:t>（</w:t>
            </w:r>
            <w:r>
              <w:rPr>
                <w:rFonts w:hint="eastAsia" w:ascii="宋体" w:hAnsi="宋体" w:cs="仿宋_GB2312"/>
                <w:szCs w:val="21"/>
              </w:rPr>
              <w:t>含饮用水设施</w:t>
            </w:r>
            <w:r>
              <w:rPr>
                <w:rFonts w:ascii="宋体" w:hAnsi="宋体" w:cs="仿宋_GB2312"/>
                <w:szCs w:val="21"/>
              </w:rPr>
              <w:t>）</w:t>
            </w:r>
            <w:r>
              <w:rPr>
                <w:rFonts w:hint="eastAsia" w:ascii="宋体" w:hAnsi="宋体" w:cs="仿宋_GB2312"/>
                <w:szCs w:val="21"/>
              </w:rPr>
              <w:t>宿舍、厕所等教学和生活环境符合国家卫生标准或相关规定。加强传染病、学生常见病的预防控制工作。学校按照规定设立校医院或卫生室，校医或专</w:t>
            </w:r>
            <w:r>
              <w:rPr>
                <w:rFonts w:ascii="宋体" w:hAnsi="宋体" w:cs="仿宋_GB2312"/>
                <w:szCs w:val="21"/>
              </w:rPr>
              <w:t>（</w:t>
            </w:r>
            <w:r>
              <w:rPr>
                <w:rFonts w:hint="eastAsia" w:ascii="宋体" w:hAnsi="宋体" w:cs="仿宋_GB2312"/>
                <w:szCs w:val="21"/>
              </w:rPr>
              <w:t>兼</w:t>
            </w:r>
            <w:r>
              <w:rPr>
                <w:rFonts w:ascii="宋体" w:hAnsi="宋体" w:cs="仿宋_GB2312"/>
                <w:szCs w:val="21"/>
              </w:rPr>
              <w:t>）</w:t>
            </w:r>
            <w:r>
              <w:rPr>
                <w:rFonts w:hint="eastAsia" w:ascii="宋体" w:hAnsi="宋体" w:cs="仿宋_GB2312"/>
                <w:szCs w:val="21"/>
              </w:rPr>
              <w:t>职保健教师配备比率达</w:t>
            </w:r>
            <w:r>
              <w:rPr>
                <w:rFonts w:ascii="宋体" w:hAnsi="宋体" w:cs="仿宋_GB2312"/>
                <w:szCs w:val="21"/>
              </w:rPr>
              <w:t>70%</w:t>
            </w:r>
            <w:r>
              <w:rPr>
                <w:rFonts w:hint="eastAsia" w:ascii="宋体" w:hAnsi="宋体" w:cs="仿宋_GB2312"/>
                <w:szCs w:val="21"/>
              </w:rPr>
              <w:t>以上，配备专兼职心理健康工作人员。</w:t>
            </w:r>
          </w:p>
        </w:tc>
        <w:tc>
          <w:tcPr>
            <w:tcW w:w="3795" w:type="dxa"/>
            <w:noWrap w:val="0"/>
            <w:vAlign w:val="center"/>
          </w:tcPr>
          <w:p>
            <w:pPr>
              <w:spacing w:line="320" w:lineRule="exact"/>
              <w:rPr>
                <w:rFonts w:ascii="宋体" w:hAnsi="宋体" w:cs="仿宋_GB2312"/>
                <w:color w:val="000000"/>
                <w:szCs w:val="21"/>
              </w:rPr>
            </w:pPr>
            <w:r>
              <w:rPr>
                <w:rFonts w:ascii="宋体" w:hAnsi="宋体" w:cs="仿宋_GB2312"/>
                <w:szCs w:val="21"/>
              </w:rPr>
              <w:t>1.</w:t>
            </w:r>
            <w:r>
              <w:rPr>
                <w:rFonts w:hint="eastAsia" w:ascii="宋体" w:hAnsi="宋体" w:cs="仿宋_GB2312"/>
                <w:szCs w:val="21"/>
              </w:rPr>
              <w:t>学校、幼儿园和托育机构的教室、食堂</w:t>
            </w:r>
            <w:r>
              <w:rPr>
                <w:rFonts w:ascii="宋体" w:hAnsi="宋体" w:cs="仿宋_GB2312"/>
                <w:szCs w:val="21"/>
              </w:rPr>
              <w:t>（</w:t>
            </w:r>
            <w:r>
              <w:rPr>
                <w:rFonts w:hint="eastAsia" w:ascii="宋体" w:hAnsi="宋体" w:cs="仿宋_GB2312"/>
                <w:szCs w:val="21"/>
              </w:rPr>
              <w:t>含饮用水设施</w:t>
            </w:r>
            <w:r>
              <w:rPr>
                <w:rFonts w:ascii="宋体" w:hAnsi="宋体" w:cs="仿宋_GB2312"/>
                <w:szCs w:val="21"/>
              </w:rPr>
              <w:t>）</w:t>
            </w:r>
            <w:r>
              <w:rPr>
                <w:rFonts w:hint="eastAsia" w:ascii="宋体" w:hAnsi="宋体" w:cs="仿宋_GB2312"/>
                <w:szCs w:val="21"/>
              </w:rPr>
              <w:t>宿舍、厕所等教学和生活环境符合国家卫生标准或相关规定。</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区教育局、区卫生健康局、区市场监管局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各学校、幼儿园、托育机构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color w:val="000000"/>
                <w:szCs w:val="21"/>
              </w:rPr>
            </w:pPr>
          </w:p>
        </w:tc>
        <w:tc>
          <w:tcPr>
            <w:tcW w:w="3795" w:type="dxa"/>
            <w:noWrap w:val="0"/>
            <w:vAlign w:val="center"/>
          </w:tcPr>
          <w:p>
            <w:pPr>
              <w:spacing w:line="320" w:lineRule="exact"/>
              <w:rPr>
                <w:rFonts w:ascii="宋体" w:hAnsi="宋体" w:cs="仿宋_GB2312"/>
                <w:color w:val="000000"/>
                <w:szCs w:val="21"/>
              </w:rPr>
            </w:pPr>
            <w:r>
              <w:rPr>
                <w:rFonts w:ascii="宋体" w:hAnsi="宋体" w:cs="仿宋_GB2312"/>
                <w:szCs w:val="21"/>
              </w:rPr>
              <w:t>2.</w:t>
            </w:r>
            <w:r>
              <w:rPr>
                <w:rFonts w:hint="eastAsia" w:ascii="宋体" w:hAnsi="宋体" w:cs="仿宋_GB2312"/>
                <w:szCs w:val="21"/>
              </w:rPr>
              <w:t>加强传染病、学生常见病的预防控制工作。学校按照规定设立校医院或卫生室，校医或专</w:t>
            </w:r>
            <w:r>
              <w:rPr>
                <w:rFonts w:ascii="宋体" w:hAnsi="宋体" w:cs="仿宋_GB2312"/>
                <w:szCs w:val="21"/>
              </w:rPr>
              <w:t>（</w:t>
            </w:r>
            <w:r>
              <w:rPr>
                <w:rFonts w:hint="eastAsia" w:ascii="宋体" w:hAnsi="宋体" w:cs="仿宋_GB2312"/>
                <w:szCs w:val="21"/>
              </w:rPr>
              <w:t>兼</w:t>
            </w:r>
            <w:r>
              <w:rPr>
                <w:rFonts w:ascii="宋体" w:hAnsi="宋体" w:cs="仿宋_GB2312"/>
                <w:szCs w:val="21"/>
              </w:rPr>
              <w:t>）</w:t>
            </w:r>
            <w:r>
              <w:rPr>
                <w:rFonts w:hint="eastAsia" w:ascii="宋体" w:hAnsi="宋体" w:cs="仿宋_GB2312"/>
                <w:szCs w:val="21"/>
              </w:rPr>
              <w:t>职保健教师配备比率达</w:t>
            </w:r>
            <w:r>
              <w:rPr>
                <w:rFonts w:ascii="宋体" w:hAnsi="宋体" w:cs="仿宋_GB2312"/>
                <w:szCs w:val="21"/>
              </w:rPr>
              <w:t>70%</w:t>
            </w:r>
            <w:r>
              <w:rPr>
                <w:rFonts w:hint="eastAsia" w:ascii="宋体" w:hAnsi="宋体" w:cs="仿宋_GB2312"/>
                <w:szCs w:val="21"/>
              </w:rPr>
              <w:t>以上，配备专兼职心理健康工作人员。</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区教育局、区卫生健康局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各学校</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校医或专</w:t>
            </w:r>
            <w:r>
              <w:rPr>
                <w:rFonts w:ascii="宋体" w:hAnsi="宋体" w:cs="仿宋_GB2312"/>
                <w:szCs w:val="21"/>
              </w:rPr>
              <w:t>（</w:t>
            </w:r>
            <w:r>
              <w:rPr>
                <w:rFonts w:hint="eastAsia" w:ascii="宋体" w:hAnsi="宋体" w:cs="仿宋_GB2312"/>
                <w:szCs w:val="21"/>
              </w:rPr>
              <w:t>兼</w:t>
            </w:r>
            <w:r>
              <w:rPr>
                <w:rFonts w:ascii="宋体" w:hAnsi="宋体" w:cs="仿宋_GB2312"/>
                <w:szCs w:val="21"/>
              </w:rPr>
              <w:t>）</w:t>
            </w:r>
            <w:r>
              <w:rPr>
                <w:rFonts w:hint="eastAsia" w:ascii="宋体" w:hAnsi="宋体" w:cs="仿宋_GB2312"/>
                <w:szCs w:val="21"/>
              </w:rPr>
              <w:t>职保健教师配备比率达</w:t>
            </w:r>
            <w:r>
              <w:rPr>
                <w:rFonts w:ascii="宋体" w:hAnsi="宋体" w:cs="仿宋_GB2312"/>
                <w:szCs w:val="21"/>
              </w:rPr>
              <w:t>70%</w:t>
            </w:r>
            <w:r>
              <w:rPr>
                <w:rFonts w:hint="eastAsia" w:ascii="宋体" w:hAnsi="宋体" w:cs="仿宋_GB2312"/>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五、</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重点场所卫生</w:t>
            </w: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三十ー</w:t>
            </w:r>
            <w:r>
              <w:rPr>
                <w:rFonts w:ascii="宋体" w:hAnsi="宋体" w:cs="仿宋_GB2312"/>
                <w:szCs w:val="21"/>
              </w:rPr>
              <w:t>）</w:t>
            </w:r>
            <w:r>
              <w:rPr>
                <w:rFonts w:hint="eastAsia" w:ascii="宋体" w:hAnsi="宋体" w:cs="仿宋_GB2312"/>
                <w:szCs w:val="21"/>
              </w:rPr>
              <w:t>中小学体育与健康课程开课率达到</w:t>
            </w:r>
            <w:r>
              <w:rPr>
                <w:rFonts w:ascii="宋体" w:hAnsi="宋体" w:cs="仿宋_GB2312"/>
                <w:szCs w:val="21"/>
              </w:rPr>
              <w:t>100%</w:t>
            </w:r>
            <w:r>
              <w:rPr>
                <w:rFonts w:hint="eastAsia" w:ascii="宋体" w:hAnsi="宋体" w:cs="仿宋_GB2312"/>
                <w:szCs w:val="21"/>
              </w:rPr>
              <w:t>。中小学生每天校内体育活动时间不少于</w:t>
            </w:r>
            <w:r>
              <w:rPr>
                <w:rFonts w:ascii="宋体" w:hAnsi="宋体" w:cs="仿宋_GB2312"/>
                <w:szCs w:val="21"/>
              </w:rPr>
              <w:t>1</w:t>
            </w:r>
            <w:r>
              <w:rPr>
                <w:rFonts w:hint="eastAsia" w:ascii="宋体" w:hAnsi="宋体" w:cs="仿宋_GB2312"/>
                <w:szCs w:val="21"/>
              </w:rPr>
              <w:t>小时。学校眼保健操普及率达到</w:t>
            </w:r>
            <w:r>
              <w:rPr>
                <w:rFonts w:ascii="宋体" w:hAnsi="宋体" w:cs="仿宋_GB2312"/>
                <w:szCs w:val="21"/>
              </w:rPr>
              <w:t>100%</w:t>
            </w:r>
            <w:r>
              <w:rPr>
                <w:rFonts w:hint="eastAsia" w:ascii="宋体" w:hAnsi="宋体" w:cs="仿宋_GB2312"/>
                <w:szCs w:val="21"/>
              </w:rPr>
              <w:t>。中小学生近视率和肥胖率逐年下降。近</w:t>
            </w:r>
            <w:r>
              <w:rPr>
                <w:rFonts w:ascii="宋体" w:hAnsi="宋体" w:cs="仿宋_GB2312"/>
                <w:szCs w:val="21"/>
              </w:rPr>
              <w:t>3</w:t>
            </w:r>
            <w:r>
              <w:rPr>
                <w:rFonts w:hint="eastAsia" w:ascii="宋体" w:hAnsi="宋体" w:cs="仿宋_GB2312"/>
                <w:szCs w:val="21"/>
              </w:rPr>
              <w:t>年无学校食物中毒事件。</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中小学体育与健康课程开课率达到</w:t>
            </w:r>
            <w:r>
              <w:rPr>
                <w:rFonts w:ascii="宋体" w:hAnsi="宋体" w:cs="仿宋_GB2312"/>
                <w:szCs w:val="21"/>
              </w:rPr>
              <w:t>100%</w:t>
            </w:r>
            <w:r>
              <w:rPr>
                <w:rFonts w:hint="eastAsia" w:ascii="宋体" w:hAnsi="宋体" w:cs="仿宋_GB2312"/>
                <w:szCs w:val="21"/>
              </w:rPr>
              <w:t>。中小学生每天校内体育活动时间不少于</w:t>
            </w:r>
            <w:r>
              <w:rPr>
                <w:rFonts w:ascii="宋体" w:hAnsi="宋体" w:cs="仿宋_GB2312"/>
                <w:szCs w:val="21"/>
              </w:rPr>
              <w:t>1</w:t>
            </w:r>
            <w:r>
              <w:rPr>
                <w:rFonts w:hint="eastAsia" w:ascii="宋体" w:hAnsi="宋体" w:cs="仿宋_GB2312"/>
                <w:szCs w:val="21"/>
              </w:rPr>
              <w:t>小时。学校眼保健操普及率达到</w:t>
            </w:r>
            <w:r>
              <w:rPr>
                <w:rFonts w:ascii="宋体" w:hAnsi="宋体" w:cs="仿宋_GB2312"/>
                <w:szCs w:val="21"/>
              </w:rPr>
              <w:t>100%</w:t>
            </w:r>
            <w:r>
              <w:rPr>
                <w:rFonts w:hint="eastAsia" w:ascii="宋体" w:hAnsi="宋体" w:cs="仿宋_GB2312"/>
                <w:szCs w:val="21"/>
              </w:rPr>
              <w:t>。</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区教育局、区卫生健康局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区卫生健康局、各学校</w:t>
            </w:r>
          </w:p>
        </w:tc>
        <w:tc>
          <w:tcPr>
            <w:tcW w:w="1980" w:type="dxa"/>
            <w:noWrap w:val="0"/>
            <w:vAlign w:val="center"/>
          </w:tcPr>
          <w:p>
            <w:pPr>
              <w:spacing w:line="320" w:lineRule="exact"/>
              <w:rPr>
                <w:rFonts w:ascii="宋体" w:hAnsi="宋体" w:cs="仿宋_GB2312"/>
                <w:szCs w:val="21"/>
              </w:rPr>
            </w:pPr>
            <w:r>
              <w:rPr>
                <w:rFonts w:ascii="宋体" w:hAnsi="宋体" w:cs="仿宋_GB2312"/>
                <w:szCs w:val="21"/>
              </w:rPr>
              <w:t>1.</w:t>
            </w:r>
            <w:r>
              <w:rPr>
                <w:rFonts w:hint="eastAsia" w:ascii="宋体" w:hAnsi="宋体" w:cs="仿宋_GB2312"/>
                <w:szCs w:val="21"/>
              </w:rPr>
              <w:t>中小学生近视率和肥胖率逐年下降。</w:t>
            </w:r>
          </w:p>
          <w:p>
            <w:pPr>
              <w:spacing w:line="320" w:lineRule="exact"/>
              <w:rPr>
                <w:rFonts w:ascii="宋体" w:hAnsi="宋体" w:cs="仿宋_GB2312"/>
                <w:color w:val="000000"/>
                <w:szCs w:val="21"/>
              </w:rPr>
            </w:pPr>
            <w:r>
              <w:rPr>
                <w:rFonts w:ascii="宋体" w:hAnsi="宋体" w:cs="仿宋_GB2312"/>
                <w:szCs w:val="21"/>
              </w:rPr>
              <w:t>2.</w:t>
            </w:r>
            <w:r>
              <w:rPr>
                <w:rFonts w:hint="eastAsia" w:ascii="宋体" w:hAnsi="宋体" w:cs="仿宋_GB2312"/>
                <w:szCs w:val="21"/>
              </w:rPr>
              <w:t>近</w:t>
            </w:r>
            <w:r>
              <w:rPr>
                <w:rFonts w:ascii="宋体" w:hAnsi="宋体" w:cs="仿宋_GB2312"/>
                <w:szCs w:val="21"/>
              </w:rPr>
              <w:t>3</w:t>
            </w:r>
            <w:r>
              <w:rPr>
                <w:rFonts w:hint="eastAsia" w:ascii="宋体" w:hAnsi="宋体" w:cs="仿宋_GB2312"/>
                <w:szCs w:val="21"/>
              </w:rPr>
              <w:t>年无学校食物中毒事件。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szCs w:val="21"/>
              </w:rPr>
            </w:pPr>
            <w:r>
              <w:rPr>
                <w:rFonts w:ascii="宋体" w:hAnsi="宋体" w:cs="仿宋_GB2312"/>
                <w:szCs w:val="21"/>
              </w:rPr>
              <w:t>（</w:t>
            </w:r>
            <w:r>
              <w:rPr>
                <w:rFonts w:hint="eastAsia" w:ascii="宋体" w:hAnsi="宋体" w:cs="仿宋_GB2312"/>
                <w:szCs w:val="21"/>
              </w:rPr>
              <w:t>三十二</w:t>
            </w:r>
            <w:r>
              <w:rPr>
                <w:rFonts w:ascii="宋体" w:hAnsi="宋体" w:cs="仿宋_GB2312"/>
                <w:szCs w:val="21"/>
              </w:rPr>
              <w:t>）</w:t>
            </w:r>
            <w:r>
              <w:rPr>
                <w:rFonts w:hint="eastAsia" w:ascii="宋体" w:hAnsi="宋体" w:cs="仿宋_GB2312"/>
                <w:szCs w:val="21"/>
              </w:rPr>
              <w:t>健康单位</w:t>
            </w:r>
            <w:r>
              <w:rPr>
                <w:rFonts w:ascii="宋体" w:hAnsi="宋体" w:cs="仿宋_GB2312"/>
                <w:szCs w:val="21"/>
              </w:rPr>
              <w:t>（</w:t>
            </w:r>
            <w:r>
              <w:rPr>
                <w:rFonts w:hint="eastAsia" w:ascii="宋体" w:hAnsi="宋体" w:cs="仿宋_GB2312"/>
                <w:szCs w:val="21"/>
              </w:rPr>
              <w:t>企业</w:t>
            </w:r>
            <w:r>
              <w:rPr>
                <w:rFonts w:ascii="宋体" w:hAnsi="宋体" w:cs="仿宋_GB2312"/>
                <w:szCs w:val="21"/>
              </w:rPr>
              <w:t>）</w:t>
            </w:r>
            <w:r>
              <w:rPr>
                <w:rFonts w:hint="eastAsia" w:ascii="宋体" w:hAnsi="宋体" w:cs="仿宋_GB2312"/>
                <w:szCs w:val="21"/>
              </w:rPr>
              <w:t>建设有序推进。辖区内纳入监管的存在职业病目录所列职业病危害因素的重点行业企业职业病危害项目申报率达到</w:t>
            </w:r>
            <w:r>
              <w:rPr>
                <w:rFonts w:ascii="宋体" w:hAnsi="宋体" w:cs="仿宋_GB2312"/>
                <w:szCs w:val="21"/>
              </w:rPr>
              <w:t>90%</w:t>
            </w:r>
            <w:r>
              <w:rPr>
                <w:rFonts w:hint="eastAsia" w:ascii="宋体" w:hAnsi="宋体" w:cs="仿宋_GB2312"/>
                <w:szCs w:val="21"/>
              </w:rPr>
              <w:t>以上。纳入监管的重点行业企业的接触职业病危害的劳动者在岗期间职业健康检査率达到</w:t>
            </w:r>
            <w:r>
              <w:rPr>
                <w:rFonts w:ascii="宋体" w:hAnsi="宋体" w:cs="仿宋_GB2312"/>
                <w:szCs w:val="21"/>
              </w:rPr>
              <w:t>90%</w:t>
            </w:r>
            <w:r>
              <w:rPr>
                <w:rFonts w:hint="eastAsia" w:ascii="宋体" w:hAnsi="宋体" w:cs="仿宋_GB2312"/>
                <w:szCs w:val="21"/>
              </w:rPr>
              <w:t>以上。近</w:t>
            </w:r>
            <w:r>
              <w:rPr>
                <w:rFonts w:ascii="宋体" w:hAnsi="宋体" w:cs="仿宋_GB2312"/>
                <w:szCs w:val="21"/>
              </w:rPr>
              <w:t>3</w:t>
            </w:r>
            <w:r>
              <w:rPr>
                <w:rFonts w:hint="eastAsia" w:ascii="宋体" w:hAnsi="宋体" w:cs="仿宋_GB2312"/>
                <w:szCs w:val="21"/>
              </w:rPr>
              <w:t>年未发生重大职业病危害事故。</w:t>
            </w:r>
          </w:p>
        </w:tc>
        <w:tc>
          <w:tcPr>
            <w:tcW w:w="3795" w:type="dxa"/>
            <w:noWrap w:val="0"/>
            <w:vAlign w:val="center"/>
          </w:tcPr>
          <w:p>
            <w:pPr>
              <w:spacing w:line="320" w:lineRule="exact"/>
              <w:rPr>
                <w:rFonts w:ascii="宋体" w:hAnsi="宋体" w:cs="仿宋_GB2312"/>
                <w:szCs w:val="21"/>
              </w:rPr>
            </w:pPr>
            <w:r>
              <w:rPr>
                <w:rFonts w:ascii="宋体" w:hAnsi="宋体" w:cs="仿宋_GB2312"/>
                <w:szCs w:val="21"/>
              </w:rPr>
              <w:t>1.</w:t>
            </w:r>
            <w:r>
              <w:rPr>
                <w:rFonts w:hint="eastAsia" w:ascii="宋体" w:hAnsi="宋体" w:cs="仿宋_GB2312"/>
                <w:szCs w:val="21"/>
              </w:rPr>
              <w:t>健康单位</w:t>
            </w:r>
            <w:r>
              <w:rPr>
                <w:rFonts w:ascii="宋体" w:hAnsi="宋体" w:cs="仿宋_GB2312"/>
                <w:szCs w:val="21"/>
              </w:rPr>
              <w:t>（</w:t>
            </w:r>
            <w:r>
              <w:rPr>
                <w:rFonts w:hint="eastAsia" w:ascii="宋体" w:hAnsi="宋体" w:cs="仿宋_GB2312"/>
                <w:szCs w:val="21"/>
              </w:rPr>
              <w:t>企业</w:t>
            </w:r>
            <w:r>
              <w:rPr>
                <w:rFonts w:ascii="宋体" w:hAnsi="宋体" w:cs="仿宋_GB2312"/>
                <w:szCs w:val="21"/>
              </w:rPr>
              <w:t>）</w:t>
            </w:r>
            <w:r>
              <w:rPr>
                <w:rFonts w:hint="eastAsia" w:ascii="宋体" w:hAnsi="宋体" w:cs="仿宋_GB2312"/>
                <w:szCs w:val="21"/>
              </w:rPr>
              <w:t>建设有序推进。</w:t>
            </w:r>
          </w:p>
        </w:tc>
        <w:tc>
          <w:tcPr>
            <w:tcW w:w="1785" w:type="dxa"/>
            <w:noWrap w:val="0"/>
            <w:vAlign w:val="center"/>
          </w:tcPr>
          <w:p>
            <w:pPr>
              <w:spacing w:line="300" w:lineRule="exact"/>
              <w:jc w:val="center"/>
              <w:rPr>
                <w:rFonts w:ascii="宋体" w:hAnsi="宋体" w:cs="仿宋_GB2312"/>
                <w:color w:val="000000"/>
                <w:szCs w:val="21"/>
              </w:rPr>
            </w:pPr>
            <w:r>
              <w:rPr>
                <w:rFonts w:hint="eastAsia" w:ascii="宋体" w:hAnsi="宋体" w:cs="仿宋_GB2312"/>
                <w:szCs w:val="21"/>
              </w:rPr>
              <w:t>区爱卫会、区卫生健康局、区工业信息化局和商务局、区总工会、区妇联、团区委</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szCs w:val="21"/>
              </w:rPr>
            </w:pPr>
          </w:p>
        </w:tc>
        <w:tc>
          <w:tcPr>
            <w:tcW w:w="3795" w:type="dxa"/>
            <w:noWrap w:val="0"/>
            <w:vAlign w:val="center"/>
          </w:tcPr>
          <w:p>
            <w:pPr>
              <w:spacing w:line="320" w:lineRule="exact"/>
              <w:rPr>
                <w:rFonts w:ascii="宋体" w:hAnsi="宋体" w:cs="仿宋_GB2312"/>
                <w:szCs w:val="21"/>
              </w:rPr>
            </w:pPr>
            <w:r>
              <w:rPr>
                <w:rFonts w:ascii="宋体" w:hAnsi="宋体" w:cs="仿宋_GB2312"/>
                <w:szCs w:val="21"/>
              </w:rPr>
              <w:t>2.</w:t>
            </w:r>
            <w:r>
              <w:rPr>
                <w:rFonts w:hint="eastAsia" w:ascii="宋体" w:hAnsi="宋体" w:cs="仿宋_GB2312"/>
                <w:szCs w:val="21"/>
              </w:rPr>
              <w:t>辖区内纳入监管的存在职业病目录所列职业病危害因素的重点行业企业职业病危害项目申报率达到</w:t>
            </w:r>
            <w:r>
              <w:rPr>
                <w:rFonts w:ascii="宋体" w:hAnsi="宋体" w:cs="仿宋_GB2312"/>
                <w:szCs w:val="21"/>
              </w:rPr>
              <w:t>90%</w:t>
            </w:r>
            <w:r>
              <w:rPr>
                <w:rFonts w:hint="eastAsia" w:ascii="宋体" w:hAnsi="宋体" w:cs="仿宋_GB2312"/>
                <w:szCs w:val="21"/>
              </w:rPr>
              <w:t>以上。纳入监管的重点行业企业的接触职业病危害的劳动者在岗期间职业健康检査率达到</w:t>
            </w:r>
            <w:r>
              <w:rPr>
                <w:rFonts w:ascii="宋体" w:hAnsi="宋体" w:cs="仿宋_GB2312"/>
                <w:szCs w:val="21"/>
              </w:rPr>
              <w:t>90%</w:t>
            </w:r>
            <w:r>
              <w:rPr>
                <w:rFonts w:hint="eastAsia" w:ascii="宋体" w:hAnsi="宋体" w:cs="仿宋_GB2312"/>
                <w:szCs w:val="21"/>
              </w:rPr>
              <w:t>以上。</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近</w:t>
            </w:r>
            <w:r>
              <w:rPr>
                <w:rFonts w:ascii="宋体" w:hAnsi="宋体" w:cs="仿宋_GB2312"/>
                <w:szCs w:val="21"/>
              </w:rPr>
              <w:t>3</w:t>
            </w:r>
            <w:r>
              <w:rPr>
                <w:rFonts w:hint="eastAsia" w:ascii="宋体" w:hAnsi="宋体" w:cs="仿宋_GB2312"/>
                <w:szCs w:val="21"/>
              </w:rPr>
              <w:t>年未发生重大职业病危害事故。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三十三</w:t>
            </w:r>
            <w:r>
              <w:rPr>
                <w:rFonts w:ascii="宋体" w:hAnsi="宋体" w:cs="仿宋_GB2312"/>
                <w:szCs w:val="21"/>
              </w:rPr>
              <w:t>）</w:t>
            </w:r>
            <w:r>
              <w:rPr>
                <w:rFonts w:hint="eastAsia" w:ascii="宋体" w:hAnsi="宋体" w:cs="仿宋_GB2312"/>
                <w:szCs w:val="21"/>
              </w:rPr>
              <w:t>旅客列车车厢、轮船客舱、飞机客舱等场所和商场、超市等公共场所符合强制性卫生标准《公共场所卫生指标及限值要求》。</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大型商场、超市等公共场所符合强制性卫生标准《公共场所卫生指标及限值要求》。</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六、</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食品和生活饮用水安全</w:t>
            </w: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三十四</w:t>
            </w:r>
            <w:r>
              <w:rPr>
                <w:rFonts w:ascii="宋体" w:hAnsi="宋体" w:cs="仿宋_GB2312"/>
                <w:szCs w:val="21"/>
              </w:rPr>
              <w:t>）</w:t>
            </w:r>
            <w:r>
              <w:rPr>
                <w:rFonts w:hint="eastAsia" w:ascii="宋体" w:hAnsi="宋体" w:cs="仿宋_GB2312"/>
                <w:szCs w:val="21"/>
              </w:rPr>
              <w:t>近</w:t>
            </w:r>
            <w:r>
              <w:rPr>
                <w:rFonts w:ascii="宋体" w:hAnsi="宋体" w:cs="仿宋_GB2312"/>
                <w:szCs w:val="21"/>
              </w:rPr>
              <w:t>3</w:t>
            </w:r>
            <w:r>
              <w:rPr>
                <w:rFonts w:hint="eastAsia" w:ascii="宋体" w:hAnsi="宋体" w:cs="仿宋_GB2312"/>
                <w:szCs w:val="21"/>
              </w:rPr>
              <w:t>年未发生重大食品安全和饮用水安全事故。</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近</w:t>
            </w:r>
            <w:r>
              <w:rPr>
                <w:rFonts w:ascii="宋体" w:hAnsi="宋体" w:cs="仿宋_GB2312"/>
                <w:szCs w:val="21"/>
              </w:rPr>
              <w:t>3</w:t>
            </w:r>
            <w:r>
              <w:rPr>
                <w:rFonts w:hint="eastAsia" w:ascii="宋体" w:hAnsi="宋体" w:cs="仿宋_GB2312"/>
                <w:szCs w:val="21"/>
              </w:rPr>
              <w:t>年未发生重大食品安全和饮用水安全事故。</w:t>
            </w:r>
          </w:p>
        </w:tc>
        <w:tc>
          <w:tcPr>
            <w:tcW w:w="1785" w:type="dxa"/>
            <w:noWrap w:val="0"/>
            <w:vAlign w:val="center"/>
          </w:tcPr>
          <w:p>
            <w:pPr>
              <w:spacing w:line="320" w:lineRule="exact"/>
              <w:jc w:val="center"/>
              <w:rPr>
                <w:rFonts w:ascii="宋体" w:hAnsi="宋体" w:cs="仿宋_GB2312"/>
                <w:spacing w:val="-2"/>
                <w:szCs w:val="21"/>
              </w:rPr>
            </w:pPr>
            <w:r>
              <w:rPr>
                <w:rFonts w:hint="eastAsia" w:ascii="宋体" w:hAnsi="宋体" w:cs="仿宋_GB2312"/>
                <w:spacing w:val="-2"/>
                <w:szCs w:val="21"/>
              </w:rPr>
              <w:t>区市场监管局、区生态环境分局、区卫生健康局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三十五</w:t>
            </w:r>
            <w:r>
              <w:rPr>
                <w:rFonts w:ascii="宋体" w:hAnsi="宋体" w:cs="仿宋_GB2312"/>
                <w:szCs w:val="21"/>
              </w:rPr>
              <w:t>）</w:t>
            </w:r>
            <w:r>
              <w:rPr>
                <w:rFonts w:hint="eastAsia" w:ascii="宋体" w:hAnsi="宋体" w:cs="仿宋_GB2312"/>
                <w:szCs w:val="21"/>
              </w:rPr>
              <w:t>加强小餐饮店、小食品店、小作坊管理，无固定经营场所的食品贩实行统一管理，规定区域、限定品种经营。无制售“三无”食品、假冒食品、劣质食品、过期食品等现象。</w:t>
            </w:r>
          </w:p>
        </w:tc>
        <w:tc>
          <w:tcPr>
            <w:tcW w:w="3795" w:type="dxa"/>
            <w:noWrap w:val="0"/>
            <w:vAlign w:val="center"/>
          </w:tcPr>
          <w:p>
            <w:pPr>
              <w:spacing w:line="320" w:lineRule="exact"/>
              <w:rPr>
                <w:rFonts w:ascii="宋体" w:hAnsi="宋体" w:cs="仿宋_GB2312"/>
                <w:color w:val="000000"/>
                <w:szCs w:val="21"/>
              </w:rPr>
            </w:pPr>
            <w:r>
              <w:rPr>
                <w:rFonts w:ascii="宋体" w:hAnsi="宋体" w:cs="仿宋_GB2312"/>
                <w:szCs w:val="21"/>
              </w:rPr>
              <w:t>1.</w:t>
            </w:r>
            <w:r>
              <w:rPr>
                <w:rFonts w:hint="eastAsia" w:ascii="宋体" w:hAnsi="宋体" w:cs="仿宋_GB2312"/>
                <w:szCs w:val="21"/>
              </w:rPr>
              <w:t>加强小餐饮店、小食品店、小作坊管理，无固定经营场所的食品贩实行统一管理，规定区域、限定品种经营。</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区市场监管局、区城管执法局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color w:val="000000"/>
                <w:szCs w:val="21"/>
              </w:rPr>
            </w:pPr>
          </w:p>
        </w:tc>
        <w:tc>
          <w:tcPr>
            <w:tcW w:w="3795" w:type="dxa"/>
            <w:noWrap w:val="0"/>
            <w:vAlign w:val="center"/>
          </w:tcPr>
          <w:p>
            <w:pPr>
              <w:spacing w:line="320" w:lineRule="exact"/>
              <w:rPr>
                <w:rFonts w:ascii="宋体" w:hAnsi="宋体" w:cs="仿宋_GB2312"/>
                <w:color w:val="000000"/>
                <w:szCs w:val="21"/>
              </w:rPr>
            </w:pPr>
            <w:r>
              <w:rPr>
                <w:rFonts w:ascii="宋体" w:hAnsi="宋体" w:cs="仿宋_GB2312"/>
                <w:szCs w:val="21"/>
              </w:rPr>
              <w:t>2.</w:t>
            </w:r>
            <w:r>
              <w:rPr>
                <w:rFonts w:hint="eastAsia" w:ascii="宋体" w:hAnsi="宋体" w:cs="仿宋_GB2312"/>
                <w:szCs w:val="21"/>
              </w:rPr>
              <w:t>无制售“三无”食品、假冒食品、劣质食品、过期食品等现象。</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区市场监管局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00" w:lineRule="exact"/>
              <w:rPr>
                <w:rFonts w:ascii="宋体" w:hAnsi="宋体" w:cs="仿宋_GB2312"/>
                <w:color w:val="000000"/>
                <w:spacing w:val="-4"/>
                <w:szCs w:val="21"/>
              </w:rPr>
            </w:pPr>
            <w:r>
              <w:rPr>
                <w:rFonts w:ascii="宋体" w:hAnsi="宋体" w:cs="仿宋_GB2312"/>
                <w:spacing w:val="-4"/>
                <w:szCs w:val="21"/>
              </w:rPr>
              <w:t>（</w:t>
            </w:r>
            <w:r>
              <w:rPr>
                <w:rFonts w:hint="eastAsia" w:ascii="宋体" w:hAnsi="宋体" w:cs="仿宋_GB2312"/>
                <w:spacing w:val="-4"/>
                <w:szCs w:val="21"/>
              </w:rPr>
              <w:t>三十六</w:t>
            </w:r>
            <w:r>
              <w:rPr>
                <w:rFonts w:ascii="宋体" w:hAnsi="宋体" w:cs="仿宋_GB2312"/>
                <w:spacing w:val="-4"/>
                <w:szCs w:val="21"/>
              </w:rPr>
              <w:t>）</w:t>
            </w:r>
            <w:r>
              <w:rPr>
                <w:rFonts w:hint="eastAsia" w:ascii="宋体" w:hAnsi="宋体" w:cs="仿宋_GB2312"/>
                <w:spacing w:val="-2"/>
                <w:szCs w:val="21"/>
              </w:rPr>
              <w:t>积极推行明厨亮灶，食品生产经营风险分级管理率≥</w:t>
            </w:r>
            <w:r>
              <w:rPr>
                <w:rFonts w:ascii="宋体" w:hAnsi="宋体" w:cs="仿宋_GB2312"/>
                <w:spacing w:val="-2"/>
                <w:szCs w:val="21"/>
              </w:rPr>
              <w:t>90%</w:t>
            </w:r>
            <w:r>
              <w:rPr>
                <w:rFonts w:hint="eastAsia" w:ascii="宋体" w:hAnsi="宋体" w:cs="仿宋_GB2312"/>
                <w:spacing w:val="-2"/>
                <w:szCs w:val="21"/>
              </w:rPr>
              <w:t>。食品从业人员取得有效的健康合格证明。落实清洗消毒制度，防蝇防鼠等设施健全。食品生产企业严格执行《食品安全国家标准食品生产通用卫生规范》。</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积极推行明厨亮灶。食品从业人员取得有效的健康合格证明。落实清洗消毒制度，防蝇防鼠等设施健全。食品生产企业严格执行《食品安全国家标准食品生产通用卫生规范》。</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区市场监管局、区卫生健康局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食品生产经营风险分级管理率≥</w:t>
            </w:r>
            <w:r>
              <w:rPr>
                <w:rFonts w:ascii="宋体" w:hAnsi="宋体" w:cs="仿宋_GB2312"/>
                <w:szCs w:val="21"/>
              </w:rPr>
              <w:t>90%</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三十七</w:t>
            </w:r>
            <w:r>
              <w:rPr>
                <w:rFonts w:ascii="宋体" w:hAnsi="宋体" w:cs="仿宋_GB2312"/>
                <w:szCs w:val="21"/>
              </w:rPr>
              <w:t>）</w:t>
            </w:r>
            <w:r>
              <w:rPr>
                <w:rFonts w:hint="eastAsia" w:ascii="宋体" w:hAnsi="宋体" w:cs="仿宋_GB2312"/>
                <w:szCs w:val="21"/>
              </w:rPr>
              <w:t>推广分餐制和公筷制。不制售、食用野生动物。</w:t>
            </w:r>
          </w:p>
        </w:tc>
        <w:tc>
          <w:tcPr>
            <w:tcW w:w="3795" w:type="dxa"/>
            <w:noWrap w:val="0"/>
            <w:vAlign w:val="center"/>
          </w:tcPr>
          <w:p>
            <w:pPr>
              <w:spacing w:line="320" w:lineRule="exact"/>
              <w:rPr>
                <w:rFonts w:ascii="宋体" w:hAnsi="宋体" w:cs="仿宋_GB2312"/>
                <w:szCs w:val="21"/>
              </w:rPr>
            </w:pPr>
            <w:r>
              <w:rPr>
                <w:rFonts w:ascii="宋体" w:hAnsi="宋体" w:cs="仿宋_GB2312"/>
                <w:szCs w:val="21"/>
              </w:rPr>
              <w:t>1.</w:t>
            </w:r>
            <w:r>
              <w:rPr>
                <w:rFonts w:hint="eastAsia" w:ascii="宋体" w:hAnsi="宋体" w:cs="仿宋_GB2312"/>
                <w:szCs w:val="21"/>
              </w:rPr>
              <w:t>推广分餐制和公筷制。</w:t>
            </w:r>
          </w:p>
        </w:tc>
        <w:tc>
          <w:tcPr>
            <w:tcW w:w="1785" w:type="dxa"/>
            <w:noWrap w:val="0"/>
            <w:vAlign w:val="center"/>
          </w:tcPr>
          <w:p>
            <w:pPr>
              <w:spacing w:line="320" w:lineRule="exact"/>
              <w:jc w:val="center"/>
              <w:rPr>
                <w:rFonts w:ascii="宋体" w:hAnsi="宋体" w:cs="仿宋_GB2312"/>
                <w:spacing w:val="-4"/>
                <w:szCs w:val="21"/>
              </w:rPr>
            </w:pPr>
            <w:r>
              <w:rPr>
                <w:rFonts w:hint="eastAsia" w:ascii="宋体" w:hAnsi="宋体" w:cs="仿宋_GB2312"/>
                <w:spacing w:val="-4"/>
                <w:szCs w:val="21"/>
              </w:rPr>
              <w:t>区工业信息化和商务局、区文明办、区市场监管局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szCs w:val="21"/>
              </w:rPr>
              <w:t>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rPr>
                <w:rFonts w:ascii="宋体" w:hAnsi="宋体" w:cs="仿宋_GB2312"/>
                <w:color w:val="000000"/>
                <w:szCs w:val="21"/>
              </w:rPr>
            </w:pPr>
          </w:p>
        </w:tc>
        <w:tc>
          <w:tcPr>
            <w:tcW w:w="3795" w:type="dxa"/>
            <w:noWrap w:val="0"/>
            <w:vAlign w:val="center"/>
          </w:tcPr>
          <w:p>
            <w:pPr>
              <w:spacing w:line="320" w:lineRule="exact"/>
              <w:rPr>
                <w:rFonts w:ascii="宋体" w:hAnsi="宋体" w:cs="仿宋_GB2312"/>
                <w:color w:val="000000"/>
                <w:szCs w:val="21"/>
              </w:rPr>
            </w:pPr>
            <w:r>
              <w:rPr>
                <w:rFonts w:ascii="宋体" w:hAnsi="宋体" w:cs="仿宋_GB2312"/>
                <w:szCs w:val="21"/>
              </w:rPr>
              <w:t>2.</w:t>
            </w:r>
            <w:r>
              <w:rPr>
                <w:rFonts w:hint="eastAsia" w:ascii="宋体" w:hAnsi="宋体" w:cs="仿宋_GB2312"/>
                <w:szCs w:val="21"/>
              </w:rPr>
              <w:t>不制售、食用野生动物。</w:t>
            </w:r>
          </w:p>
        </w:tc>
        <w:tc>
          <w:tcPr>
            <w:tcW w:w="1785" w:type="dxa"/>
            <w:noWrap w:val="0"/>
            <w:vAlign w:val="center"/>
          </w:tcPr>
          <w:p>
            <w:pPr>
              <w:spacing w:line="320" w:lineRule="exact"/>
              <w:jc w:val="center"/>
              <w:rPr>
                <w:rFonts w:ascii="宋体" w:hAnsi="宋体" w:cs="仿宋_GB2312"/>
                <w:color w:val="000000"/>
                <w:szCs w:val="21"/>
              </w:rPr>
            </w:pPr>
            <w:r>
              <w:rPr>
                <w:rFonts w:hint="eastAsia" w:ascii="宋体" w:hAnsi="宋体" w:cs="仿宋_GB2312"/>
                <w:szCs w:val="21"/>
              </w:rPr>
              <w:t>区市场监管局、区农业农村局</w:t>
            </w:r>
          </w:p>
        </w:tc>
        <w:tc>
          <w:tcPr>
            <w:tcW w:w="2340" w:type="dxa"/>
            <w:noWrap w:val="0"/>
            <w:vAlign w:val="center"/>
          </w:tcPr>
          <w:p>
            <w:pPr>
              <w:spacing w:line="320" w:lineRule="exact"/>
              <w:jc w:val="center"/>
              <w:rPr>
                <w:rFonts w:ascii="宋体" w:hAnsi="宋体" w:cs="仿宋_GB2312"/>
                <w:color w:val="000000"/>
                <w:szCs w:val="21"/>
              </w:rPr>
            </w:pP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17" w:type="dxa"/>
            <w:vMerge w:val="continue"/>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三十八</w:t>
            </w:r>
            <w:r>
              <w:rPr>
                <w:rFonts w:ascii="宋体" w:hAnsi="宋体" w:cs="仿宋_GB2312"/>
                <w:szCs w:val="21"/>
              </w:rPr>
              <w:t>）</w:t>
            </w:r>
            <w:r>
              <w:rPr>
                <w:rFonts w:hint="eastAsia" w:ascii="宋体" w:hAnsi="宋体" w:cs="仿宋_GB2312"/>
                <w:szCs w:val="21"/>
              </w:rPr>
              <w:t>市政供水、自备供水、居民小区供水管理规范，供水单位有卫生许可证。二次供水符合国家《二次供水设施卫生规》的标准要求。开展水质监测工作，采样点选择、检验项目和频率符合相关要求。</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市政供水、自备供水、居民小区供水管理规范，供水单位有卫生许可证。二次供水符合国家《二次供水设施卫生规》的标准要求。开展水质监测工作，采样点选择、检验项目和频率符合相关要求。</w:t>
            </w:r>
          </w:p>
        </w:tc>
        <w:tc>
          <w:tcPr>
            <w:tcW w:w="1785" w:type="dxa"/>
            <w:noWrap w:val="0"/>
            <w:vAlign w:val="center"/>
          </w:tcPr>
          <w:p>
            <w:pPr>
              <w:spacing w:line="320" w:lineRule="exact"/>
              <w:jc w:val="center"/>
              <w:rPr>
                <w:rFonts w:ascii="宋体" w:hAnsi="宋体" w:cs="仿宋_GB2312"/>
                <w:szCs w:val="21"/>
              </w:rPr>
            </w:pPr>
            <w:r>
              <w:rPr>
                <w:rFonts w:hint="eastAsia" w:ascii="宋体" w:hAnsi="宋体" w:cs="仿宋_GB2312"/>
                <w:szCs w:val="21"/>
              </w:rPr>
              <w:t>区卫生健康局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szCs w:val="21"/>
              </w:rPr>
              <w:t>区卫生健康局</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trPr>
        <w:tc>
          <w:tcPr>
            <w:tcW w:w="817" w:type="dxa"/>
            <w:vMerge w:val="restart"/>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七、</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疾病防控与医疗卫生服务</w:t>
            </w:r>
          </w:p>
        </w:tc>
        <w:tc>
          <w:tcPr>
            <w:tcW w:w="3611" w:type="dxa"/>
            <w:noWrap w:val="0"/>
            <w:vAlign w:val="center"/>
          </w:tcPr>
          <w:p>
            <w:pPr>
              <w:spacing w:line="320" w:lineRule="exact"/>
              <w:rPr>
                <w:rFonts w:ascii="宋体" w:hAnsi="宋体" w:cs="仿宋_GB2312"/>
                <w:color w:val="000000"/>
                <w:szCs w:val="21"/>
              </w:rPr>
            </w:pPr>
            <w:r>
              <w:rPr>
                <w:rFonts w:ascii="宋体" w:hAnsi="宋体" w:cs="仿宋_GB2312"/>
                <w:szCs w:val="21"/>
              </w:rPr>
              <w:t>（</w:t>
            </w:r>
            <w:r>
              <w:rPr>
                <w:rFonts w:hint="eastAsia" w:ascii="宋体" w:hAnsi="宋体" w:cs="仿宋_GB2312"/>
                <w:szCs w:val="21"/>
              </w:rPr>
              <w:t>三十九</w:t>
            </w:r>
            <w:r>
              <w:rPr>
                <w:rFonts w:ascii="宋体" w:hAnsi="宋体" w:cs="仿宋_GB2312"/>
                <w:szCs w:val="21"/>
              </w:rPr>
              <w:t>）</w:t>
            </w:r>
            <w:r>
              <w:rPr>
                <w:rFonts w:hint="eastAsia" w:ascii="宋体" w:hAnsi="宋体" w:cs="仿宋_GB2312"/>
                <w:szCs w:val="21"/>
              </w:rPr>
              <w:t>政府卫生投入占政府支出比例持续长。个入卫生支出占卫生总费用的比重≤</w:t>
            </w:r>
            <w:r>
              <w:rPr>
                <w:rFonts w:ascii="宋体" w:hAnsi="宋体" w:cs="仿宋_GB2312"/>
                <w:szCs w:val="21"/>
              </w:rPr>
              <w:t>30%</w:t>
            </w:r>
            <w:r>
              <w:rPr>
                <w:rFonts w:hint="eastAsia" w:ascii="宋体" w:hAnsi="宋体" w:cs="仿宋_GB2312"/>
                <w:szCs w:val="21"/>
              </w:rPr>
              <w:t>。</w:t>
            </w:r>
          </w:p>
        </w:tc>
        <w:tc>
          <w:tcPr>
            <w:tcW w:w="3795" w:type="dxa"/>
            <w:noWrap w:val="0"/>
            <w:vAlign w:val="center"/>
          </w:tcPr>
          <w:p>
            <w:pPr>
              <w:spacing w:line="320" w:lineRule="exact"/>
              <w:rPr>
                <w:rFonts w:ascii="宋体" w:hAnsi="宋体" w:cs="仿宋_GB2312"/>
                <w:color w:val="000000"/>
                <w:szCs w:val="21"/>
              </w:rPr>
            </w:pPr>
            <w:r>
              <w:rPr>
                <w:rFonts w:hint="eastAsia" w:ascii="宋体" w:hAnsi="宋体" w:cs="仿宋_GB2312"/>
                <w:szCs w:val="21"/>
              </w:rPr>
              <w:t>政府卫生投入占政府支出比例持续长。个入卫生支出占卫生总费用的比重≤</w:t>
            </w:r>
            <w:r>
              <w:rPr>
                <w:rFonts w:ascii="宋体" w:hAnsi="宋体" w:cs="仿宋_GB2312"/>
                <w:szCs w:val="21"/>
              </w:rPr>
              <w:t>30%</w:t>
            </w:r>
            <w:r>
              <w:rPr>
                <w:rFonts w:hint="eastAsia" w:ascii="宋体" w:hAnsi="宋体" w:cs="仿宋_GB2312"/>
                <w:szCs w:val="21"/>
              </w:rPr>
              <w:t>。</w:t>
            </w:r>
          </w:p>
        </w:tc>
        <w:tc>
          <w:tcPr>
            <w:tcW w:w="1785" w:type="dxa"/>
            <w:noWrap w:val="0"/>
            <w:vAlign w:val="center"/>
          </w:tcPr>
          <w:p>
            <w:pPr>
              <w:spacing w:line="320" w:lineRule="exact"/>
              <w:jc w:val="center"/>
              <w:rPr>
                <w:rFonts w:ascii="宋体" w:hAnsi="宋体" w:cs="仿宋_GB2312"/>
                <w:szCs w:val="21"/>
              </w:rPr>
            </w:pPr>
            <w:r>
              <w:rPr>
                <w:rFonts w:hint="eastAsia" w:ascii="宋体" w:hAnsi="宋体" w:cs="仿宋_GB2312"/>
                <w:szCs w:val="21"/>
              </w:rPr>
              <w:t>区医保局、区卫生健康局</w:t>
            </w:r>
          </w:p>
        </w:tc>
        <w:tc>
          <w:tcPr>
            <w:tcW w:w="2340" w:type="dxa"/>
            <w:noWrap w:val="0"/>
            <w:vAlign w:val="center"/>
          </w:tcPr>
          <w:p>
            <w:pPr>
              <w:spacing w:line="320" w:lineRule="exact"/>
              <w:jc w:val="center"/>
              <w:rPr>
                <w:rFonts w:ascii="宋体" w:hAnsi="宋体" w:cs="仿宋_GB2312"/>
                <w:szCs w:val="21"/>
              </w:rPr>
            </w:pPr>
            <w:r>
              <w:rPr>
                <w:rFonts w:hint="eastAsia" w:ascii="宋体" w:hAnsi="宋体" w:cs="仿宋_GB2312"/>
                <w:szCs w:val="21"/>
              </w:rPr>
              <w:t>区财政局、各镇（街道）政府（办事处）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w:t>
            </w:r>
            <w:r>
              <w:rPr>
                <w:rFonts w:ascii="宋体" w:hAnsi="宋体" w:cs="仿宋_GB2312"/>
                <w:color w:val="000000"/>
                <w:kern w:val="0"/>
                <w:szCs w:val="21"/>
              </w:rPr>
              <w:t>）</w:t>
            </w:r>
            <w:r>
              <w:rPr>
                <w:rFonts w:hint="eastAsia" w:ascii="宋体" w:hAnsi="宋体" w:cs="仿宋_GB2312"/>
                <w:color w:val="000000"/>
                <w:kern w:val="0"/>
                <w:szCs w:val="21"/>
              </w:rPr>
              <w:t>近</w:t>
            </w:r>
            <w:r>
              <w:rPr>
                <w:rFonts w:ascii="宋体" w:hAnsi="宋体" w:cs="仿宋_GB2312"/>
                <w:color w:val="000000"/>
                <w:kern w:val="0"/>
                <w:szCs w:val="21"/>
              </w:rPr>
              <w:t>3</w:t>
            </w:r>
            <w:r>
              <w:rPr>
                <w:rFonts w:hint="eastAsia" w:ascii="宋体" w:hAnsi="宋体" w:cs="仿宋_GB2312"/>
                <w:color w:val="000000"/>
                <w:kern w:val="0"/>
                <w:szCs w:val="21"/>
              </w:rPr>
              <w:t>年未发生重大实验室生物安全事故和因防控措施不力导致的甲、乙类传染病暴发流行。二级以上综合医院设置公共卫生科和感染性疾病控制科，发热门诊、肠道门诊、预检分诊符合有关规定。</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二级以上综合医院设置公共卫生科和感染性疾病控制科，发热门诊、肠道门诊、预检分诊符合有关规定。</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二级以上综合医院</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近</w:t>
            </w:r>
            <w:r>
              <w:rPr>
                <w:rFonts w:ascii="宋体" w:hAnsi="宋体" w:cs="仿宋_GB2312"/>
                <w:color w:val="000000"/>
                <w:kern w:val="0"/>
                <w:szCs w:val="21"/>
              </w:rPr>
              <w:t>3</w:t>
            </w:r>
            <w:r>
              <w:rPr>
                <w:rFonts w:hint="eastAsia" w:ascii="宋体" w:hAnsi="宋体" w:cs="仿宋_GB2312"/>
                <w:color w:val="000000"/>
                <w:kern w:val="0"/>
                <w:szCs w:val="21"/>
              </w:rPr>
              <w:t>年未发生重大实验室生物安全事故和因防控措施不力导致的甲、乙类传染病暴发流行。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exac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四十一</w:t>
            </w:r>
            <w:r>
              <w:rPr>
                <w:rFonts w:ascii="宋体" w:hAnsi="宋体" w:cs="仿宋_GB2312"/>
                <w:color w:val="000000"/>
                <w:kern w:val="0"/>
                <w:szCs w:val="21"/>
              </w:rPr>
              <w:t>）</w:t>
            </w:r>
            <w:r>
              <w:rPr>
                <w:rFonts w:hint="eastAsia" w:ascii="宋体" w:hAnsi="宋体" w:cs="仿宋_GB2312"/>
                <w:color w:val="000000"/>
                <w:kern w:val="0"/>
                <w:szCs w:val="21"/>
              </w:rPr>
              <w:t>以街道</w:t>
            </w:r>
            <w:r>
              <w:rPr>
                <w:rFonts w:ascii="宋体" w:hAnsi="宋体" w:cs="仿宋_GB2312"/>
                <w:color w:val="000000"/>
                <w:kern w:val="0"/>
                <w:szCs w:val="21"/>
              </w:rPr>
              <w:t>（</w:t>
            </w:r>
            <w:r>
              <w:rPr>
                <w:rFonts w:hint="eastAsia" w:ascii="宋体" w:hAnsi="宋体" w:cs="仿宋_GB2312"/>
                <w:color w:val="000000"/>
                <w:kern w:val="0"/>
                <w:szCs w:val="21"/>
              </w:rPr>
              <w:t>乡、镇</w:t>
            </w:r>
            <w:r>
              <w:rPr>
                <w:rFonts w:ascii="宋体" w:hAnsi="宋体" w:cs="仿宋_GB2312"/>
                <w:color w:val="000000"/>
                <w:kern w:val="0"/>
                <w:szCs w:val="21"/>
              </w:rPr>
              <w:t>）</w:t>
            </w:r>
            <w:r>
              <w:rPr>
                <w:rFonts w:hint="eastAsia" w:ascii="宋体" w:hAnsi="宋体" w:cs="仿宋_GB2312"/>
                <w:color w:val="000000"/>
                <w:kern w:val="0"/>
                <w:szCs w:val="21"/>
              </w:rPr>
              <w:t>为单位适龄儿童免疫规划疫苗接种率≥</w:t>
            </w:r>
            <w:r>
              <w:rPr>
                <w:rFonts w:ascii="宋体" w:hAnsi="宋体" w:cs="仿宋_GB2312"/>
                <w:color w:val="000000"/>
                <w:kern w:val="0"/>
                <w:szCs w:val="21"/>
              </w:rPr>
              <w:t>90%</w:t>
            </w:r>
            <w:r>
              <w:rPr>
                <w:rFonts w:hint="eastAsia" w:ascii="宋体" w:hAnsi="宋体" w:cs="仿宋_GB2312"/>
                <w:color w:val="000000"/>
                <w:kern w:val="0"/>
                <w:szCs w:val="21"/>
              </w:rPr>
              <w:t>。居住满</w:t>
            </w:r>
            <w:r>
              <w:rPr>
                <w:rFonts w:ascii="宋体" w:hAnsi="宋体" w:cs="仿宋_GB2312"/>
                <w:color w:val="000000"/>
                <w:kern w:val="0"/>
                <w:szCs w:val="21"/>
              </w:rPr>
              <w:t>3</w:t>
            </w:r>
            <w:r>
              <w:rPr>
                <w:rFonts w:hint="eastAsia" w:ascii="宋体" w:hAnsi="宋体" w:cs="仿宋_GB2312"/>
                <w:color w:val="000000"/>
                <w:kern w:val="0"/>
                <w:szCs w:val="21"/>
              </w:rPr>
              <w:t>个月以上的适龄儿童建卡、建证率达到≥</w:t>
            </w:r>
            <w:r>
              <w:rPr>
                <w:rFonts w:ascii="宋体" w:hAnsi="宋体" w:cs="仿宋_GB2312"/>
                <w:color w:val="000000"/>
                <w:kern w:val="0"/>
                <w:szCs w:val="21"/>
              </w:rPr>
              <w:t>95%</w:t>
            </w:r>
            <w:r>
              <w:rPr>
                <w:rFonts w:hint="eastAsia" w:ascii="宋体" w:hAnsi="宋体" w:cs="仿宋_GB2312"/>
                <w:color w:val="000000"/>
                <w:kern w:val="0"/>
                <w:szCs w:val="21"/>
              </w:rPr>
              <w:t>。辖区内</w:t>
            </w:r>
            <w:r>
              <w:rPr>
                <w:rFonts w:ascii="宋体" w:hAnsi="宋体" w:cs="仿宋_GB2312"/>
                <w:color w:val="000000"/>
                <w:kern w:val="0"/>
                <w:szCs w:val="21"/>
              </w:rPr>
              <w:t>7</w:t>
            </w:r>
            <w:r>
              <w:rPr>
                <w:rFonts w:hint="eastAsia" w:ascii="宋体" w:hAnsi="宋体" w:cs="仿宋_GB2312"/>
                <w:color w:val="000000"/>
                <w:kern w:val="0"/>
                <w:szCs w:val="21"/>
              </w:rPr>
              <w:t>岁以下儿童健康管理率和</w:t>
            </w:r>
            <w:r>
              <w:rPr>
                <w:rFonts w:ascii="宋体" w:hAnsi="宋体" w:cs="仿宋_GB2312"/>
                <w:color w:val="000000"/>
                <w:kern w:val="0"/>
                <w:szCs w:val="21"/>
              </w:rPr>
              <w:t>3</w:t>
            </w:r>
            <w:r>
              <w:rPr>
                <w:rFonts w:hint="eastAsia" w:ascii="宋体" w:hAnsi="宋体" w:cs="仿宋_GB2312"/>
                <w:color w:val="000000"/>
                <w:kern w:val="0"/>
                <w:szCs w:val="21"/>
              </w:rPr>
              <w:t>岁以下儿童系统管理率均≥</w:t>
            </w:r>
            <w:r>
              <w:rPr>
                <w:rFonts w:ascii="宋体" w:hAnsi="宋体" w:cs="仿宋_GB2312"/>
                <w:color w:val="000000"/>
                <w:kern w:val="0"/>
                <w:szCs w:val="21"/>
              </w:rPr>
              <w:t>90%</w:t>
            </w:r>
            <w:r>
              <w:rPr>
                <w:rFonts w:hint="eastAsia" w:ascii="宋体" w:hAnsi="宋体" w:cs="仿宋_GB2312"/>
                <w:color w:val="000000"/>
                <w:kern w:val="0"/>
                <w:szCs w:val="21"/>
              </w:rPr>
              <w:t>，</w:t>
            </w:r>
            <w:r>
              <w:rPr>
                <w:rFonts w:ascii="宋体" w:hAnsi="宋体" w:cs="仿宋_GB2312"/>
                <w:color w:val="000000"/>
                <w:kern w:val="0"/>
                <w:szCs w:val="21"/>
              </w:rPr>
              <w:t>0-6</w:t>
            </w:r>
            <w:r>
              <w:rPr>
                <w:rFonts w:hint="eastAsia" w:ascii="宋体" w:hAnsi="宋体" w:cs="仿宋_GB2312"/>
                <w:color w:val="000000"/>
                <w:kern w:val="0"/>
                <w:szCs w:val="21"/>
              </w:rPr>
              <w:t>岁儿童眼保健和视力检查率≥</w:t>
            </w:r>
            <w:r>
              <w:rPr>
                <w:rFonts w:ascii="宋体" w:hAnsi="宋体" w:cs="仿宋_GB2312"/>
                <w:color w:val="000000"/>
                <w:kern w:val="0"/>
                <w:szCs w:val="21"/>
              </w:rPr>
              <w:t>90%</w:t>
            </w:r>
            <w:r>
              <w:rPr>
                <w:rFonts w:hint="eastAsia" w:ascii="宋体" w:hAnsi="宋体" w:cs="仿宋_GB2312"/>
                <w:color w:val="000000"/>
                <w:kern w:val="0"/>
                <w:szCs w:val="21"/>
              </w:rPr>
              <w:t>。</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1.</w:t>
            </w:r>
            <w:r>
              <w:rPr>
                <w:rFonts w:hint="eastAsia" w:ascii="宋体" w:hAnsi="宋体" w:cs="仿宋_GB2312"/>
                <w:color w:val="000000"/>
                <w:kern w:val="0"/>
                <w:szCs w:val="21"/>
              </w:rPr>
              <w:t>以街道</w:t>
            </w:r>
            <w:r>
              <w:rPr>
                <w:rFonts w:ascii="宋体" w:hAnsi="宋体" w:cs="仿宋_GB2312"/>
                <w:color w:val="000000"/>
                <w:kern w:val="0"/>
                <w:szCs w:val="21"/>
              </w:rPr>
              <w:t>（</w:t>
            </w:r>
            <w:r>
              <w:rPr>
                <w:rFonts w:hint="eastAsia" w:ascii="宋体" w:hAnsi="宋体" w:cs="仿宋_GB2312"/>
                <w:color w:val="000000"/>
                <w:kern w:val="0"/>
                <w:szCs w:val="21"/>
              </w:rPr>
              <w:t>镇</w:t>
            </w:r>
            <w:r>
              <w:rPr>
                <w:rFonts w:ascii="宋体" w:hAnsi="宋体" w:cs="仿宋_GB2312"/>
                <w:color w:val="000000"/>
                <w:kern w:val="0"/>
                <w:szCs w:val="21"/>
              </w:rPr>
              <w:t>）</w:t>
            </w:r>
            <w:r>
              <w:rPr>
                <w:rFonts w:hint="eastAsia" w:ascii="宋体" w:hAnsi="宋体" w:cs="仿宋_GB2312"/>
                <w:color w:val="000000"/>
                <w:kern w:val="0"/>
                <w:szCs w:val="21"/>
              </w:rPr>
              <w:t>为单位适龄儿童免疫规划疫苗接种率≥</w:t>
            </w:r>
            <w:r>
              <w:rPr>
                <w:rFonts w:ascii="宋体" w:hAnsi="宋体" w:cs="仿宋_GB2312"/>
                <w:color w:val="000000"/>
                <w:kern w:val="0"/>
                <w:szCs w:val="21"/>
              </w:rPr>
              <w:t>90%</w:t>
            </w:r>
            <w:r>
              <w:rPr>
                <w:rFonts w:hint="eastAsia" w:ascii="宋体" w:hAnsi="宋体" w:cs="仿宋_GB2312"/>
                <w:color w:val="000000"/>
                <w:kern w:val="0"/>
                <w:szCs w:val="21"/>
              </w:rPr>
              <w:t>。居住满</w:t>
            </w:r>
            <w:r>
              <w:rPr>
                <w:rFonts w:ascii="宋体" w:hAnsi="宋体" w:cs="仿宋_GB2312"/>
                <w:color w:val="000000"/>
                <w:kern w:val="0"/>
                <w:szCs w:val="21"/>
              </w:rPr>
              <w:t>3</w:t>
            </w:r>
            <w:r>
              <w:rPr>
                <w:rFonts w:hint="eastAsia" w:ascii="宋体" w:hAnsi="宋体" w:cs="仿宋_GB2312"/>
                <w:color w:val="000000"/>
                <w:kern w:val="0"/>
                <w:szCs w:val="21"/>
              </w:rPr>
              <w:t>个月以上的适龄儿童建卡、建证率达到≥</w:t>
            </w:r>
            <w:r>
              <w:rPr>
                <w:rFonts w:ascii="宋体" w:hAnsi="宋体" w:cs="仿宋_GB2312"/>
                <w:color w:val="000000"/>
                <w:kern w:val="0"/>
                <w:szCs w:val="21"/>
              </w:rPr>
              <w:t>95%</w:t>
            </w:r>
            <w:r>
              <w:rPr>
                <w:rFonts w:hint="eastAsia" w:ascii="宋体" w:hAnsi="宋体" w:cs="仿宋_GB2312"/>
                <w:color w:val="000000"/>
                <w:kern w:val="0"/>
                <w:szCs w:val="21"/>
              </w:rPr>
              <w:t>。</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各医疗卫生单位</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exac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2.</w:t>
            </w:r>
            <w:r>
              <w:rPr>
                <w:rFonts w:hint="eastAsia" w:ascii="宋体" w:hAnsi="宋体" w:cs="仿宋_GB2312"/>
                <w:color w:val="000000"/>
                <w:kern w:val="0"/>
                <w:szCs w:val="21"/>
              </w:rPr>
              <w:t>辖区内</w:t>
            </w:r>
            <w:r>
              <w:rPr>
                <w:rFonts w:ascii="宋体" w:hAnsi="宋体" w:cs="仿宋_GB2312"/>
                <w:color w:val="000000"/>
                <w:kern w:val="0"/>
                <w:szCs w:val="21"/>
              </w:rPr>
              <w:t>7</w:t>
            </w:r>
            <w:r>
              <w:rPr>
                <w:rFonts w:hint="eastAsia" w:ascii="宋体" w:hAnsi="宋体" w:cs="仿宋_GB2312"/>
                <w:color w:val="000000"/>
                <w:kern w:val="0"/>
                <w:szCs w:val="21"/>
              </w:rPr>
              <w:t>岁以下儿童健康管理率和</w:t>
            </w:r>
            <w:r>
              <w:rPr>
                <w:rFonts w:ascii="宋体" w:hAnsi="宋体" w:cs="仿宋_GB2312"/>
                <w:color w:val="000000"/>
                <w:kern w:val="0"/>
                <w:szCs w:val="21"/>
              </w:rPr>
              <w:t>3</w:t>
            </w:r>
            <w:r>
              <w:rPr>
                <w:rFonts w:hint="eastAsia" w:ascii="宋体" w:hAnsi="宋体" w:cs="仿宋_GB2312"/>
                <w:color w:val="000000"/>
                <w:kern w:val="0"/>
                <w:szCs w:val="21"/>
              </w:rPr>
              <w:t>岁以下儿童系统管理率均≥</w:t>
            </w:r>
            <w:r>
              <w:rPr>
                <w:rFonts w:ascii="宋体" w:hAnsi="宋体" w:cs="仿宋_GB2312"/>
                <w:color w:val="000000"/>
                <w:kern w:val="0"/>
                <w:szCs w:val="21"/>
              </w:rPr>
              <w:t>90%</w:t>
            </w:r>
            <w:r>
              <w:rPr>
                <w:rFonts w:hint="eastAsia" w:ascii="宋体" w:hAnsi="宋体" w:cs="仿宋_GB2312"/>
                <w:color w:val="000000"/>
                <w:kern w:val="0"/>
                <w:szCs w:val="21"/>
              </w:rPr>
              <w:t>，</w:t>
            </w:r>
            <w:r>
              <w:rPr>
                <w:rFonts w:ascii="宋体" w:hAnsi="宋体" w:cs="仿宋_GB2312"/>
                <w:color w:val="000000"/>
                <w:kern w:val="0"/>
                <w:szCs w:val="21"/>
              </w:rPr>
              <w:t>0-6</w:t>
            </w:r>
            <w:r>
              <w:rPr>
                <w:rFonts w:hint="eastAsia" w:ascii="宋体" w:hAnsi="宋体" w:cs="仿宋_GB2312"/>
                <w:color w:val="000000"/>
                <w:kern w:val="0"/>
                <w:szCs w:val="21"/>
              </w:rPr>
              <w:t>岁儿童眼保健和视力检查率≥</w:t>
            </w:r>
            <w:r>
              <w:rPr>
                <w:rFonts w:ascii="宋体" w:hAnsi="宋体" w:cs="仿宋_GB2312"/>
                <w:color w:val="000000"/>
                <w:kern w:val="0"/>
                <w:szCs w:val="21"/>
              </w:rPr>
              <w:t>90%</w:t>
            </w:r>
            <w:r>
              <w:rPr>
                <w:rFonts w:hint="eastAsia" w:ascii="宋体" w:hAnsi="宋体" w:cs="仿宋_GB2312"/>
                <w:color w:val="000000"/>
                <w:kern w:val="0"/>
                <w:szCs w:val="21"/>
              </w:rPr>
              <w:t>。</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各医疗卫生单位</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817" w:type="dxa"/>
            <w:vMerge w:val="restart"/>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七、</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疾病防控与医疗卫生服务</w:t>
            </w:r>
          </w:p>
        </w:tc>
        <w:tc>
          <w:tcPr>
            <w:tcW w:w="3611" w:type="dxa"/>
            <w:vMerge w:val="restart"/>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四十二</w:t>
            </w:r>
            <w:r>
              <w:rPr>
                <w:rFonts w:ascii="宋体" w:hAnsi="宋体" w:cs="仿宋_GB2312"/>
                <w:color w:val="000000"/>
                <w:kern w:val="0"/>
                <w:szCs w:val="21"/>
              </w:rPr>
              <w:t>）</w:t>
            </w:r>
            <w:r>
              <w:rPr>
                <w:rFonts w:hint="eastAsia" w:ascii="宋体" w:hAnsi="宋体" w:cs="仿宋_GB2312"/>
                <w:color w:val="000000"/>
                <w:kern w:val="0"/>
                <w:szCs w:val="21"/>
              </w:rPr>
              <w:t>重大慢性病过早死亡率呈下降趋势。健全重大事件处置中的社会心理健康监测预警机制，强化心理健康促进和心理疏导、危机干预。严重精神障碍患者规范管理率≥</w:t>
            </w:r>
            <w:r>
              <w:rPr>
                <w:rFonts w:ascii="宋体" w:hAnsi="宋体" w:cs="仿宋_GB2312"/>
                <w:color w:val="000000"/>
                <w:kern w:val="0"/>
                <w:szCs w:val="21"/>
              </w:rPr>
              <w:t>80%</w:t>
            </w:r>
            <w:r>
              <w:rPr>
                <w:rFonts w:hint="eastAsia" w:ascii="宋体" w:hAnsi="宋体" w:cs="仿宋_GB2312"/>
                <w:color w:val="000000"/>
                <w:kern w:val="0"/>
                <w:szCs w:val="21"/>
              </w:rPr>
              <w:t>。</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1.</w:t>
            </w:r>
            <w:r>
              <w:rPr>
                <w:rFonts w:hint="eastAsia" w:ascii="宋体" w:hAnsi="宋体" w:cs="仿宋_GB2312"/>
                <w:color w:val="000000"/>
                <w:kern w:val="0"/>
                <w:szCs w:val="21"/>
              </w:rPr>
              <w:t>重大慢性病过早死亡率呈下降趋势。</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kern w:val="0"/>
                <w:szCs w:val="21"/>
              </w:rPr>
              <w:t>各医疗卫生单位</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2.</w:t>
            </w:r>
            <w:r>
              <w:rPr>
                <w:rFonts w:hint="eastAsia" w:ascii="宋体" w:hAnsi="宋体" w:cs="仿宋_GB2312"/>
                <w:color w:val="000000"/>
                <w:kern w:val="0"/>
                <w:szCs w:val="21"/>
              </w:rPr>
              <w:t>按上级文件要求贯彻执行，协助市直相关部门做好辖区内重大事件处置中的社会心理健康监测预警机制，强化心理健康促进和心理疏导、危机干预等相关工作。</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区委宣传部、区委政法委、区发展改革局、区教育局等</w:t>
            </w:r>
            <w:r>
              <w:rPr>
                <w:rFonts w:ascii="宋体" w:hAnsi="宋体" w:cs="仿宋_GB2312"/>
                <w:color w:val="000000"/>
                <w:szCs w:val="21"/>
              </w:rPr>
              <w:t>24</w:t>
            </w:r>
            <w:r>
              <w:rPr>
                <w:rFonts w:hint="eastAsia" w:ascii="宋体" w:hAnsi="宋体" w:cs="仿宋_GB2312"/>
                <w:color w:val="000000"/>
                <w:szCs w:val="21"/>
              </w:rPr>
              <w:t>部门</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817" w:type="dxa"/>
            <w:vMerge w:val="continue"/>
            <w:shd w:val="clear" w:color="auto" w:fill="auto"/>
            <w:noWrap w:val="0"/>
            <w:vAlign w:val="top"/>
          </w:tcPr>
          <w:p>
            <w:pPr>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3.</w:t>
            </w:r>
            <w:r>
              <w:rPr>
                <w:rFonts w:hint="eastAsia" w:ascii="宋体" w:hAnsi="宋体" w:cs="仿宋_GB2312"/>
                <w:color w:val="000000"/>
                <w:kern w:val="0"/>
                <w:szCs w:val="21"/>
              </w:rPr>
              <w:t>严重精神障碍患者规范管理率≥</w:t>
            </w:r>
            <w:r>
              <w:rPr>
                <w:rFonts w:ascii="宋体" w:hAnsi="宋体" w:cs="仿宋_GB2312"/>
                <w:color w:val="000000"/>
                <w:kern w:val="0"/>
                <w:szCs w:val="21"/>
              </w:rPr>
              <w:t>80%</w:t>
            </w:r>
            <w:r>
              <w:rPr>
                <w:rFonts w:hint="eastAsia" w:ascii="宋体" w:hAnsi="宋体" w:cs="仿宋_GB2312"/>
                <w:color w:val="000000"/>
                <w:kern w:val="0"/>
                <w:szCs w:val="21"/>
              </w:rPr>
              <w:t>。</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区慢病院</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9" w:hRule="exac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四十三</w:t>
            </w:r>
            <w:r>
              <w:rPr>
                <w:rFonts w:ascii="宋体" w:hAnsi="宋体" w:cs="仿宋_GB2312"/>
                <w:color w:val="000000"/>
                <w:kern w:val="0"/>
                <w:szCs w:val="21"/>
              </w:rPr>
              <w:t>）</w:t>
            </w:r>
            <w:r>
              <w:rPr>
                <w:rFonts w:hint="eastAsia" w:ascii="宋体" w:hAnsi="宋体" w:cs="仿宋_GB2312"/>
                <w:color w:val="000000"/>
                <w:kern w:val="0"/>
                <w:szCs w:val="21"/>
              </w:rPr>
              <w:t>医疗卫生服务体系健全，机构设置、千人口医疗卫生机构床位数、每千常住人口执业</w:t>
            </w:r>
            <w:r>
              <w:rPr>
                <w:rFonts w:ascii="宋体" w:hAnsi="宋体" w:cs="仿宋_GB2312"/>
                <w:color w:val="000000"/>
                <w:kern w:val="0"/>
                <w:szCs w:val="21"/>
              </w:rPr>
              <w:t>（</w:t>
            </w:r>
            <w:r>
              <w:rPr>
                <w:rFonts w:hint="eastAsia" w:ascii="宋体" w:hAnsi="宋体" w:cs="仿宋_GB2312"/>
                <w:color w:val="000000"/>
                <w:kern w:val="0"/>
                <w:szCs w:val="21"/>
              </w:rPr>
              <w:t>助理</w:t>
            </w:r>
            <w:r>
              <w:rPr>
                <w:rFonts w:ascii="宋体" w:hAnsi="宋体" w:cs="仿宋_GB2312"/>
                <w:color w:val="000000"/>
                <w:kern w:val="0"/>
                <w:szCs w:val="21"/>
              </w:rPr>
              <w:t>）</w:t>
            </w:r>
            <w:r>
              <w:rPr>
                <w:rFonts w:hint="eastAsia" w:ascii="宋体" w:hAnsi="宋体" w:cs="仿宋_GB2312"/>
                <w:color w:val="000000"/>
                <w:kern w:val="0"/>
                <w:szCs w:val="21"/>
              </w:rPr>
              <w:t>医师数和注册护士数、每千常住人口公共卫生人员数、每万常住人口全科医生数、医护比等指标符合所在地区域卫生规划要求。</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医疗卫生服务体系健全，机构设置、千人口医疗卫生机构床位数、每千常住人口执业</w:t>
            </w:r>
            <w:r>
              <w:rPr>
                <w:rFonts w:ascii="宋体" w:hAnsi="宋体" w:cs="仿宋_GB2312"/>
                <w:color w:val="000000"/>
                <w:kern w:val="0"/>
                <w:szCs w:val="21"/>
              </w:rPr>
              <w:t>（</w:t>
            </w:r>
            <w:r>
              <w:rPr>
                <w:rFonts w:hint="eastAsia" w:ascii="宋体" w:hAnsi="宋体" w:cs="仿宋_GB2312"/>
                <w:color w:val="000000"/>
                <w:kern w:val="0"/>
                <w:szCs w:val="21"/>
              </w:rPr>
              <w:t>助理</w:t>
            </w:r>
            <w:r>
              <w:rPr>
                <w:rFonts w:ascii="宋体" w:hAnsi="宋体" w:cs="仿宋_GB2312"/>
                <w:color w:val="000000"/>
                <w:kern w:val="0"/>
                <w:szCs w:val="21"/>
              </w:rPr>
              <w:t>）</w:t>
            </w:r>
            <w:r>
              <w:rPr>
                <w:rFonts w:hint="eastAsia" w:ascii="宋体" w:hAnsi="宋体" w:cs="仿宋_GB2312"/>
                <w:color w:val="000000"/>
                <w:kern w:val="0"/>
                <w:szCs w:val="21"/>
              </w:rPr>
              <w:t>医师数和注册护士数、每千常住人口公共卫生人员数、每万常住人全科医生数、医护比等指标符合所在地区域卫生规划要求。</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各医疗卫生机构、各镇（街道）政府（办事处）</w:t>
            </w:r>
          </w:p>
        </w:tc>
        <w:tc>
          <w:tcPr>
            <w:tcW w:w="1980" w:type="dxa"/>
            <w:noWrap w:val="0"/>
            <w:vAlign w:val="center"/>
          </w:tcPr>
          <w:p>
            <w:pPr>
              <w:spacing w:line="320" w:lineRule="exac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exact"/>
        </w:trPr>
        <w:tc>
          <w:tcPr>
            <w:tcW w:w="817" w:type="dxa"/>
            <w:vMerge w:val="restart"/>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七、</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疾病防控与医疗卫生服务</w:t>
            </w:r>
          </w:p>
        </w:tc>
        <w:tc>
          <w:tcPr>
            <w:tcW w:w="3611" w:type="dxa"/>
            <w:vMerge w:val="restart"/>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四十四</w:t>
            </w:r>
            <w:r>
              <w:rPr>
                <w:rFonts w:ascii="宋体" w:hAnsi="宋体" w:cs="仿宋_GB2312"/>
                <w:color w:val="000000"/>
                <w:kern w:val="0"/>
                <w:szCs w:val="21"/>
              </w:rPr>
              <w:t>）</w:t>
            </w:r>
            <w:r>
              <w:rPr>
                <w:rFonts w:hint="eastAsia" w:ascii="宋体" w:hAnsi="宋体" w:cs="仿宋_GB2312"/>
                <w:color w:val="000000"/>
                <w:kern w:val="0"/>
                <w:szCs w:val="21"/>
              </w:rPr>
              <w:t>积极营造公众急救环境。推动机场、地铁站、火车站、汽车客运站等交通枢纽以及学校、景区、机关单位、商场超市等重点行业、重点场所自动体外心脏除颤仪</w:t>
            </w:r>
            <w:r>
              <w:rPr>
                <w:rFonts w:ascii="宋体" w:hAnsi="宋体" w:cs="仿宋_GB2312"/>
                <w:color w:val="000000"/>
                <w:kern w:val="0"/>
                <w:szCs w:val="21"/>
              </w:rPr>
              <w:t>（AED</w:t>
            </w:r>
            <w:r>
              <w:rPr>
                <w:rFonts w:hint="eastAsia" w:ascii="宋体" w:hAnsi="宋体" w:cs="仿宋_GB2312"/>
                <w:color w:val="000000"/>
                <w:kern w:val="0"/>
                <w:szCs w:val="21"/>
              </w:rPr>
              <w:t>）的等医疗急救设备和药品配置铺设和使用普及。对人民警察、消防人员、保安人员、公共交通工具驾乘人员等重点人群开展急救知识与技能培训，逐步提高全民急救能力。</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1.</w:t>
            </w:r>
            <w:r>
              <w:rPr>
                <w:rFonts w:hint="eastAsia" w:ascii="宋体" w:hAnsi="宋体" w:cs="仿宋_GB2312"/>
                <w:color w:val="000000"/>
                <w:kern w:val="0"/>
                <w:szCs w:val="21"/>
              </w:rPr>
              <w:t>积极营造公众急救环境。推动机场、地铁站、火车站、汽车客运站等交通枢纽以及学校、景区、机关单位、商场超市等重点行业、重点场所自动体外心脏除颤仪</w:t>
            </w:r>
            <w:r>
              <w:rPr>
                <w:rFonts w:ascii="宋体" w:hAnsi="宋体" w:cs="仿宋_GB2312"/>
                <w:color w:val="000000"/>
                <w:kern w:val="0"/>
                <w:szCs w:val="21"/>
              </w:rPr>
              <w:t>（AED</w:t>
            </w:r>
            <w:r>
              <w:rPr>
                <w:rFonts w:hint="eastAsia" w:ascii="宋体" w:hAnsi="宋体" w:cs="仿宋_GB2312"/>
                <w:color w:val="000000"/>
                <w:kern w:val="0"/>
                <w:szCs w:val="21"/>
              </w:rPr>
              <w:t>）的等医疗急救设备和药品配置铺设和使用普及。</w:t>
            </w:r>
          </w:p>
        </w:tc>
        <w:tc>
          <w:tcPr>
            <w:tcW w:w="1785" w:type="dxa"/>
            <w:noWrap w:val="0"/>
            <w:vAlign w:val="center"/>
          </w:tcPr>
          <w:p>
            <w:pPr>
              <w:spacing w:line="320" w:lineRule="exact"/>
              <w:jc w:val="center"/>
              <w:textAlignment w:val="center"/>
              <w:rPr>
                <w:rFonts w:ascii="宋体" w:hAnsi="宋体" w:cs="仿宋_GB2312"/>
                <w:color w:val="000000"/>
                <w:kern w:val="0"/>
                <w:szCs w:val="21"/>
              </w:rPr>
            </w:pPr>
            <w:r>
              <w:rPr>
                <w:rFonts w:hint="eastAsia" w:ascii="宋体" w:hAnsi="宋体" w:cs="仿宋_GB2312"/>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区住房城乡建设局、区教育局、区文化旅游体育局、各镇（街道）政府（办事处）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817" w:type="dxa"/>
            <w:vMerge w:val="continue"/>
            <w:shd w:val="clear" w:color="auto" w:fill="auto"/>
            <w:noWrap w:val="0"/>
            <w:vAlign w:val="top"/>
          </w:tcPr>
          <w:p>
            <w:pPr>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2.</w:t>
            </w:r>
            <w:r>
              <w:rPr>
                <w:rFonts w:hint="eastAsia" w:ascii="宋体" w:hAnsi="宋体" w:cs="仿宋_GB2312"/>
                <w:color w:val="000000"/>
                <w:kern w:val="0"/>
                <w:szCs w:val="21"/>
              </w:rPr>
              <w:t>对人民警察、消防人员、保安人员、公共交通工具驾乘人员等重点人群开展急救知识与技能培训，逐步提高全民急救能力。</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区卫生健康局、区公安分局、区</w:t>
            </w:r>
            <w:r>
              <w:rPr>
                <w:rFonts w:hint="eastAsia" w:ascii="宋体" w:hAnsi="宋体" w:cs="仿宋_GB2312"/>
                <w:kern w:val="0"/>
                <w:szCs w:val="21"/>
              </w:rPr>
              <w:t>消防救援大队、</w:t>
            </w:r>
            <w:r>
              <w:rPr>
                <w:rFonts w:hint="eastAsia" w:ascii="宋体" w:hAnsi="宋体" w:cs="仿宋_GB2312"/>
                <w:color w:val="000000"/>
                <w:kern w:val="0"/>
                <w:szCs w:val="21"/>
              </w:rPr>
              <w:t>区住房城乡建设局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6" w:hRule="atLeast"/>
        </w:trPr>
        <w:tc>
          <w:tcPr>
            <w:tcW w:w="817" w:type="dxa"/>
            <w:vMerge w:val="continue"/>
            <w:shd w:val="clear" w:color="auto" w:fill="auto"/>
            <w:noWrap w:val="0"/>
            <w:vAlign w:val="center"/>
          </w:tcPr>
          <w:p>
            <w:pPr>
              <w:jc w:val="center"/>
              <w:textAlignment w:val="center"/>
              <w:rPr>
                <w:rFonts w:ascii="宋体" w:hAnsi="宋体" w:cs="仿宋_GB2312"/>
                <w:b/>
                <w:color w:val="000000"/>
                <w:spacing w:val="20"/>
                <w:kern w:val="0"/>
                <w:szCs w:val="21"/>
              </w:rPr>
            </w:pPr>
          </w:p>
        </w:tc>
        <w:tc>
          <w:tcPr>
            <w:tcW w:w="3611"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四十五</w:t>
            </w:r>
            <w:r>
              <w:rPr>
                <w:rFonts w:ascii="宋体" w:hAnsi="宋体" w:cs="仿宋_GB2312"/>
                <w:color w:val="000000"/>
                <w:kern w:val="0"/>
                <w:szCs w:val="21"/>
              </w:rPr>
              <w:t>）</w:t>
            </w:r>
            <w:r>
              <w:rPr>
                <w:rFonts w:hint="eastAsia" w:ascii="宋体" w:hAnsi="宋体" w:cs="仿宋_GB2312"/>
                <w:color w:val="000000"/>
                <w:kern w:val="0"/>
                <w:szCs w:val="21"/>
              </w:rPr>
              <w:t>构建和谐医患关系，医疗卫生人员具备安全的工作条件，执业环境逐步改善，辖区内无重特大刑事伤医案件。临床用血</w:t>
            </w:r>
            <w:r>
              <w:rPr>
                <w:rFonts w:ascii="宋体" w:hAnsi="宋体" w:cs="仿宋_GB2312"/>
                <w:color w:val="000000"/>
                <w:kern w:val="0"/>
                <w:szCs w:val="21"/>
              </w:rPr>
              <w:t>100%</w:t>
            </w:r>
            <w:r>
              <w:rPr>
                <w:rFonts w:hint="eastAsia" w:ascii="宋体" w:hAnsi="宋体" w:cs="仿宋_GB2312"/>
                <w:color w:val="000000"/>
                <w:kern w:val="0"/>
                <w:szCs w:val="21"/>
              </w:rPr>
              <w:t>来自自愿无偿献血。建成区无非法行医、非法采供血和非法医疗广告。</w:t>
            </w:r>
          </w:p>
        </w:tc>
        <w:tc>
          <w:tcPr>
            <w:tcW w:w="3795"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构建和谐医患关系，医疗卫生人员具备安全的工作条件，执业环境逐步改善，辖区内无重特大刑事伤医案件。临床用血</w:t>
            </w:r>
            <w:r>
              <w:rPr>
                <w:rFonts w:ascii="宋体" w:hAnsi="宋体" w:cs="仿宋_GB2312"/>
                <w:color w:val="000000"/>
                <w:kern w:val="0"/>
                <w:szCs w:val="21"/>
              </w:rPr>
              <w:t>100%</w:t>
            </w:r>
            <w:r>
              <w:rPr>
                <w:rFonts w:hint="eastAsia" w:ascii="宋体" w:hAnsi="宋体" w:cs="仿宋_GB2312"/>
                <w:color w:val="000000"/>
                <w:kern w:val="0"/>
                <w:szCs w:val="21"/>
              </w:rPr>
              <w:t>来自自愿无偿献血。建成区无非法行医、非法采供血和非法医疗广告。</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区市场监管局、区公安分局、各镇（街道）政府（办事处）</w:t>
            </w:r>
          </w:p>
        </w:tc>
        <w:tc>
          <w:tcPr>
            <w:tcW w:w="1980" w:type="dxa"/>
            <w:noWrap w:val="0"/>
            <w:vAlign w:val="center"/>
          </w:tcPr>
          <w:p>
            <w:pPr>
              <w:spacing w:line="320" w:lineRule="exact"/>
              <w:rPr>
                <w:rFonts w:ascii="宋体" w:hAnsi="宋体" w:cs="仿宋_GB2312"/>
                <w:color w:val="000000"/>
                <w:szCs w:val="21"/>
              </w:rPr>
            </w:pPr>
            <w:r>
              <w:rPr>
                <w:rFonts w:hint="eastAsia" w:ascii="宋体" w:hAnsi="宋体" w:cs="仿宋_GB2312"/>
                <w:color w:val="000000"/>
                <w:kern w:val="0"/>
                <w:szCs w:val="21"/>
              </w:rPr>
              <w:t>辖区内无重特大刑事伤医案件。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17" w:type="dxa"/>
            <w:vMerge w:val="restart"/>
            <w:shd w:val="clear" w:color="auto" w:fill="auto"/>
            <w:noWrap w:val="0"/>
            <w:vAlign w:val="center"/>
          </w:tcPr>
          <w:p>
            <w:pPr>
              <w:spacing w:line="320" w:lineRule="exact"/>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七、</w:t>
            </w:r>
          </w:p>
          <w:p>
            <w:pPr>
              <w:jc w:val="center"/>
              <w:textAlignment w:val="center"/>
              <w:rPr>
                <w:rFonts w:ascii="宋体" w:hAnsi="宋体" w:cs="仿宋_GB2312"/>
                <w:b/>
                <w:color w:val="000000"/>
                <w:spacing w:val="20"/>
                <w:kern w:val="0"/>
                <w:szCs w:val="21"/>
              </w:rPr>
            </w:pPr>
            <w:r>
              <w:rPr>
                <w:rFonts w:hint="eastAsia" w:ascii="宋体" w:hAnsi="宋体" w:cs="仿宋_GB2312"/>
                <w:b/>
                <w:color w:val="000000"/>
                <w:spacing w:val="20"/>
                <w:kern w:val="0"/>
                <w:szCs w:val="21"/>
              </w:rPr>
              <w:t>疾病防控与医疗卫生服务</w:t>
            </w:r>
          </w:p>
        </w:tc>
        <w:tc>
          <w:tcPr>
            <w:tcW w:w="3611" w:type="dxa"/>
            <w:vMerge w:val="restart"/>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w:t>
            </w:r>
            <w:r>
              <w:rPr>
                <w:rFonts w:hint="eastAsia" w:ascii="宋体" w:hAnsi="宋体" w:cs="仿宋_GB2312"/>
                <w:color w:val="000000"/>
                <w:kern w:val="0"/>
                <w:szCs w:val="21"/>
              </w:rPr>
              <w:t>四十六</w:t>
            </w:r>
            <w:r>
              <w:rPr>
                <w:rFonts w:ascii="宋体" w:hAnsi="宋体" w:cs="仿宋_GB2312"/>
                <w:color w:val="000000"/>
                <w:kern w:val="0"/>
                <w:szCs w:val="21"/>
              </w:rPr>
              <w:t>）</w:t>
            </w:r>
            <w:r>
              <w:rPr>
                <w:rFonts w:hint="eastAsia" w:ascii="宋体" w:hAnsi="宋体" w:cs="仿宋_GB2312"/>
                <w:color w:val="000000"/>
                <w:kern w:val="0"/>
                <w:szCs w:val="21"/>
              </w:rPr>
              <w:t>辖区婴儿死亡率≤</w:t>
            </w:r>
            <w:r>
              <w:rPr>
                <w:rFonts w:ascii="宋体" w:hAnsi="宋体" w:cs="仿宋_GB2312"/>
                <w:color w:val="000000"/>
                <w:kern w:val="0"/>
                <w:szCs w:val="21"/>
              </w:rPr>
              <w:t>5.6%</w:t>
            </w:r>
            <w:r>
              <w:rPr>
                <w:rFonts w:hint="eastAsia" w:ascii="宋体" w:hAnsi="宋体" w:cs="仿宋_GB2312"/>
                <w:color w:val="000000"/>
                <w:kern w:val="0"/>
                <w:szCs w:val="21"/>
              </w:rPr>
              <w:t>，</w:t>
            </w:r>
            <w:r>
              <w:rPr>
                <w:rFonts w:ascii="宋体" w:hAnsi="宋体" w:cs="仿宋_GB2312"/>
                <w:color w:val="000000"/>
                <w:kern w:val="0"/>
                <w:szCs w:val="21"/>
              </w:rPr>
              <w:t>5</w:t>
            </w:r>
            <w:r>
              <w:rPr>
                <w:rFonts w:hint="eastAsia" w:ascii="宋体" w:hAnsi="宋体" w:cs="仿宋_GB2312"/>
                <w:color w:val="000000"/>
                <w:kern w:val="0"/>
                <w:szCs w:val="21"/>
              </w:rPr>
              <w:t>岁以下儿童死亡率≤</w:t>
            </w:r>
            <w:r>
              <w:rPr>
                <w:rFonts w:ascii="宋体" w:hAnsi="宋体" w:cs="仿宋_GB2312"/>
                <w:color w:val="000000"/>
                <w:kern w:val="0"/>
                <w:szCs w:val="21"/>
              </w:rPr>
              <w:t>7.8%</w:t>
            </w:r>
            <w:r>
              <w:rPr>
                <w:rFonts w:hint="eastAsia" w:ascii="宋体" w:hAnsi="宋体" w:cs="仿宋_GB2312"/>
                <w:color w:val="000000"/>
                <w:kern w:val="0"/>
                <w:szCs w:val="21"/>
              </w:rPr>
              <w:t>，孕产妇死亡率≤</w:t>
            </w:r>
            <w:r>
              <w:rPr>
                <w:rFonts w:ascii="宋体" w:hAnsi="宋体" w:cs="仿宋_GB2312"/>
                <w:color w:val="000000"/>
                <w:kern w:val="0"/>
                <w:szCs w:val="21"/>
              </w:rPr>
              <w:t>18/10</w:t>
            </w:r>
            <w:r>
              <w:rPr>
                <w:rFonts w:hint="eastAsia" w:ascii="宋体" w:hAnsi="宋体" w:cs="仿宋_GB2312"/>
                <w:color w:val="000000"/>
                <w:kern w:val="0"/>
                <w:szCs w:val="21"/>
              </w:rPr>
              <w:t>万，或者逐年降低。辖区人均预期寿命≥</w:t>
            </w:r>
            <w:r>
              <w:rPr>
                <w:rFonts w:ascii="宋体" w:hAnsi="宋体" w:cs="仿宋_GB2312"/>
                <w:color w:val="000000"/>
                <w:kern w:val="0"/>
                <w:szCs w:val="21"/>
              </w:rPr>
              <w:t>77.7</w:t>
            </w:r>
            <w:r>
              <w:rPr>
                <w:rFonts w:hint="eastAsia" w:ascii="宋体" w:hAnsi="宋体" w:cs="仿宋_GB2312"/>
                <w:color w:val="000000"/>
                <w:kern w:val="0"/>
                <w:szCs w:val="21"/>
              </w:rPr>
              <w:t>岁，或者逐年提高。</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1.</w:t>
            </w:r>
            <w:r>
              <w:rPr>
                <w:rFonts w:hint="eastAsia" w:ascii="宋体" w:hAnsi="宋体" w:cs="仿宋_GB2312"/>
                <w:color w:val="000000"/>
                <w:kern w:val="0"/>
                <w:szCs w:val="21"/>
              </w:rPr>
              <w:t>辖区婴儿死亡率≤</w:t>
            </w:r>
            <w:r>
              <w:rPr>
                <w:rFonts w:ascii="宋体" w:hAnsi="宋体" w:cs="仿宋_GB2312"/>
                <w:color w:val="000000"/>
                <w:kern w:val="0"/>
                <w:szCs w:val="21"/>
              </w:rPr>
              <w:t>5.6%</w:t>
            </w:r>
            <w:r>
              <w:rPr>
                <w:rFonts w:hint="eastAsia" w:ascii="宋体" w:hAnsi="宋体" w:cs="仿宋_GB2312"/>
                <w:color w:val="000000"/>
                <w:kern w:val="0"/>
                <w:szCs w:val="21"/>
              </w:rPr>
              <w:t>，</w:t>
            </w:r>
            <w:r>
              <w:rPr>
                <w:rFonts w:ascii="宋体" w:hAnsi="宋体" w:cs="仿宋_GB2312"/>
                <w:color w:val="000000"/>
                <w:kern w:val="0"/>
                <w:szCs w:val="21"/>
              </w:rPr>
              <w:t>5</w:t>
            </w:r>
            <w:r>
              <w:rPr>
                <w:rFonts w:hint="eastAsia" w:ascii="宋体" w:hAnsi="宋体" w:cs="仿宋_GB2312"/>
                <w:color w:val="000000"/>
                <w:kern w:val="0"/>
                <w:szCs w:val="21"/>
              </w:rPr>
              <w:t>岁以下儿童死亡率≤</w:t>
            </w:r>
            <w:r>
              <w:rPr>
                <w:rFonts w:ascii="宋体" w:hAnsi="宋体" w:cs="仿宋_GB2312"/>
                <w:color w:val="000000"/>
                <w:kern w:val="0"/>
                <w:szCs w:val="21"/>
              </w:rPr>
              <w:t>7.8%</w:t>
            </w:r>
            <w:r>
              <w:rPr>
                <w:rFonts w:hint="eastAsia" w:ascii="宋体" w:hAnsi="宋体" w:cs="仿宋_GB2312"/>
                <w:color w:val="000000"/>
                <w:kern w:val="0"/>
                <w:szCs w:val="21"/>
              </w:rPr>
              <w:t>，孕产妇死亡率≤</w:t>
            </w:r>
            <w:r>
              <w:rPr>
                <w:rFonts w:ascii="宋体" w:hAnsi="宋体" w:cs="仿宋_GB2312"/>
                <w:color w:val="000000"/>
                <w:kern w:val="0"/>
                <w:szCs w:val="21"/>
              </w:rPr>
              <w:t>18/10</w:t>
            </w:r>
            <w:r>
              <w:rPr>
                <w:rFonts w:hint="eastAsia" w:ascii="宋体" w:hAnsi="宋体" w:cs="仿宋_GB2312"/>
                <w:color w:val="000000"/>
                <w:kern w:val="0"/>
                <w:szCs w:val="21"/>
              </w:rPr>
              <w:t>万，或者逐年降低。</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17" w:type="dxa"/>
            <w:vMerge w:val="continue"/>
            <w:shd w:val="clear" w:color="auto" w:fill="auto"/>
            <w:noWrap w:val="0"/>
            <w:vAlign w:val="top"/>
          </w:tcPr>
          <w:p>
            <w:pPr>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kern w:val="0"/>
                <w:szCs w:val="21"/>
              </w:rPr>
              <w:t>2.</w:t>
            </w:r>
            <w:r>
              <w:rPr>
                <w:rFonts w:hint="eastAsia" w:ascii="宋体" w:hAnsi="宋体" w:cs="仿宋_GB2312"/>
                <w:kern w:val="0"/>
                <w:szCs w:val="21"/>
              </w:rPr>
              <w:t>辖区人均预期寿命≥</w:t>
            </w:r>
            <w:r>
              <w:rPr>
                <w:rFonts w:ascii="宋体" w:hAnsi="宋体" w:cs="仿宋_GB2312"/>
                <w:kern w:val="0"/>
                <w:szCs w:val="21"/>
              </w:rPr>
              <w:t>77.7</w:t>
            </w:r>
            <w:r>
              <w:rPr>
                <w:rFonts w:hint="eastAsia" w:ascii="宋体" w:hAnsi="宋体" w:cs="仿宋_GB2312"/>
                <w:kern w:val="0"/>
                <w:szCs w:val="21"/>
              </w:rPr>
              <w:t>岁，或者逐年提高。</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各镇（街道）政府（办事处）、区统计局</w:t>
            </w:r>
          </w:p>
        </w:tc>
        <w:tc>
          <w:tcPr>
            <w:tcW w:w="1980" w:type="dxa"/>
            <w:noWrap w:val="0"/>
            <w:vAlign w:val="center"/>
          </w:tcPr>
          <w:p>
            <w:pPr>
              <w:spacing w:line="320" w:lineRule="exact"/>
              <w:textAlignment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817" w:type="dxa"/>
            <w:vMerge w:val="continue"/>
            <w:noWrap w:val="0"/>
            <w:vAlign w:val="center"/>
          </w:tcPr>
          <w:p>
            <w:pPr>
              <w:jc w:val="center"/>
              <w:textAlignment w:val="center"/>
              <w:rPr>
                <w:rFonts w:ascii="宋体" w:hAnsi="宋体" w:cs="仿宋_GB2312"/>
                <w:b/>
                <w:color w:val="000000"/>
                <w:spacing w:val="20"/>
                <w:kern w:val="0"/>
                <w:szCs w:val="21"/>
              </w:rPr>
            </w:pPr>
          </w:p>
        </w:tc>
        <w:tc>
          <w:tcPr>
            <w:tcW w:w="3611" w:type="dxa"/>
            <w:vMerge w:val="restart"/>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（四十七</w:t>
            </w:r>
            <w:r>
              <w:rPr>
                <w:rFonts w:ascii="宋体" w:hAnsi="宋体" w:cs="仿宋_GB2312"/>
                <w:color w:val="000000"/>
                <w:kern w:val="0"/>
                <w:szCs w:val="21"/>
              </w:rPr>
              <w:t>）</w:t>
            </w:r>
            <w:r>
              <w:rPr>
                <w:rFonts w:hint="eastAsia" w:ascii="宋体" w:hAnsi="宋体" w:cs="仿宋_GB2312"/>
                <w:color w:val="000000"/>
                <w:kern w:val="0"/>
                <w:szCs w:val="21"/>
              </w:rPr>
              <w:t>建立政府组织和全社会参与的病媒生物预防控制机制。掌握辖区病媒生物侵害状况与密度水平、孳生地基本情况。湖泊、河流、小型积水、垃圾、厕所等各类孳生环境得到有效治理，建成区鼠、蚊、蝇、蟑螂的密度达到国家病媒生物密度控制水平标准</w:t>
            </w:r>
            <w:r>
              <w:rPr>
                <w:rFonts w:ascii="宋体" w:hAnsi="宋体" w:cs="仿宋_GB2312"/>
                <w:color w:val="000000"/>
                <w:kern w:val="0"/>
                <w:szCs w:val="21"/>
              </w:rPr>
              <w:t>C</w:t>
            </w:r>
            <w:r>
              <w:rPr>
                <w:rFonts w:hint="eastAsia" w:ascii="宋体" w:hAnsi="宋体" w:cs="仿宋_GB2312"/>
                <w:color w:val="000000"/>
                <w:kern w:val="0"/>
                <w:szCs w:val="21"/>
              </w:rPr>
              <w:t>级要求。重点行业和单位防蝇和防鼠设施合格率≥</w:t>
            </w:r>
            <w:r>
              <w:rPr>
                <w:rFonts w:ascii="宋体" w:hAnsi="宋体" w:cs="仿宋_GB2312"/>
                <w:color w:val="000000"/>
                <w:kern w:val="0"/>
                <w:szCs w:val="21"/>
              </w:rPr>
              <w:t>95%</w:t>
            </w:r>
            <w:r>
              <w:rPr>
                <w:rFonts w:hint="eastAsia" w:ascii="宋体" w:hAnsi="宋体" w:cs="仿宋_GB2312"/>
                <w:color w:val="000000"/>
                <w:kern w:val="0"/>
                <w:szCs w:val="21"/>
              </w:rPr>
              <w:t>。</w:t>
            </w: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1.</w:t>
            </w:r>
            <w:r>
              <w:rPr>
                <w:rFonts w:hint="eastAsia" w:ascii="宋体" w:hAnsi="宋体" w:cs="仿宋_GB2312"/>
                <w:color w:val="000000"/>
                <w:kern w:val="0"/>
                <w:szCs w:val="21"/>
              </w:rPr>
              <w:t>建立政府组织和全社会参与的病媒生物预防控制机制。掌握辖区病媒生物侵害状况与密度水平、孳生地基本情况。湖泊、河流、小型积水、垃圾、厕所等各类孳生环境得到有效治理。</w:t>
            </w:r>
          </w:p>
        </w:tc>
        <w:tc>
          <w:tcPr>
            <w:tcW w:w="1785"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区卫生健康局</w:t>
            </w:r>
          </w:p>
        </w:tc>
        <w:tc>
          <w:tcPr>
            <w:tcW w:w="2340" w:type="dxa"/>
            <w:noWrap w:val="0"/>
            <w:vAlign w:val="center"/>
          </w:tcPr>
          <w:p>
            <w:pPr>
              <w:spacing w:line="320" w:lineRule="exact"/>
              <w:jc w:val="center"/>
              <w:textAlignment w:val="center"/>
              <w:rPr>
                <w:rFonts w:ascii="宋体" w:hAnsi="宋体" w:cs="仿宋_GB2312"/>
                <w:color w:val="000000"/>
                <w:szCs w:val="21"/>
              </w:rPr>
            </w:pPr>
            <w:r>
              <w:rPr>
                <w:rFonts w:hint="eastAsia" w:ascii="宋体" w:hAnsi="宋体" w:cs="仿宋_GB2312"/>
                <w:color w:val="000000"/>
                <w:kern w:val="0"/>
                <w:szCs w:val="21"/>
              </w:rPr>
              <w:t>各镇（街道）政府（办事处）</w:t>
            </w:r>
          </w:p>
        </w:tc>
        <w:tc>
          <w:tcPr>
            <w:tcW w:w="1980" w:type="dxa"/>
            <w:noWrap w:val="0"/>
            <w:vAlign w:val="center"/>
          </w:tcPr>
          <w:p>
            <w:pPr>
              <w:spacing w:line="320" w:lineRule="exact"/>
              <w:textAlignment w:val="center"/>
              <w:rPr>
                <w:rFonts w:ascii="宋体" w:hAnsi="宋体" w:cs="仿宋_GB2312"/>
                <w:color w:val="000000"/>
                <w:szCs w:val="21"/>
              </w:rPr>
            </w:pPr>
            <w:r>
              <w:rPr>
                <w:rFonts w:hint="eastAsia" w:ascii="宋体" w:hAnsi="宋体" w:cs="仿宋_GB2312"/>
                <w:color w:val="000000"/>
                <w:kern w:val="0"/>
                <w:szCs w:val="21"/>
              </w:rPr>
              <w:t>建成区鼠、蚊、蝇、蟑螂的密度达到国家病媒生物密度控制水平标准</w:t>
            </w:r>
            <w:r>
              <w:rPr>
                <w:rFonts w:ascii="宋体" w:hAnsi="宋体" w:cs="仿宋_GB2312"/>
                <w:color w:val="000000"/>
                <w:kern w:val="0"/>
                <w:szCs w:val="21"/>
              </w:rPr>
              <w:t>C</w:t>
            </w:r>
            <w:r>
              <w:rPr>
                <w:rFonts w:hint="eastAsia" w:ascii="宋体" w:hAnsi="宋体" w:cs="仿宋_GB2312"/>
                <w:color w:val="000000"/>
                <w:kern w:val="0"/>
                <w:szCs w:val="21"/>
              </w:rPr>
              <w:t>级要求</w:t>
            </w:r>
            <w:r>
              <w:rPr>
                <w:rFonts w:ascii="宋体" w:hAnsi="宋体" w:cs="仿宋_GB2312"/>
                <w:color w:val="000000"/>
                <w:kern w:val="0"/>
                <w:szCs w:val="21"/>
              </w:rPr>
              <w:t>;</w:t>
            </w:r>
            <w:r>
              <w:rPr>
                <w:rFonts w:hint="eastAsia" w:ascii="宋体" w:hAnsi="宋体" w:cs="仿宋_GB2312"/>
                <w:color w:val="000000"/>
                <w:kern w:val="0"/>
                <w:szCs w:val="21"/>
              </w:rPr>
              <w:t>重点行业和单位防蝇和防鼠设施合格率≥</w:t>
            </w:r>
            <w:r>
              <w:rPr>
                <w:rFonts w:ascii="宋体" w:hAnsi="宋体" w:cs="仿宋_GB2312"/>
                <w:color w:val="000000"/>
                <w:kern w:val="0"/>
                <w:szCs w:val="21"/>
              </w:rPr>
              <w:t>95%</w:t>
            </w:r>
            <w:r>
              <w:rPr>
                <w:rFonts w:hint="eastAsia" w:ascii="宋体" w:hAnsi="宋体" w:cs="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9" w:hRule="atLeast"/>
        </w:trPr>
        <w:tc>
          <w:tcPr>
            <w:tcW w:w="817" w:type="dxa"/>
            <w:vMerge w:val="continue"/>
            <w:noWrap w:val="0"/>
            <w:vAlign w:val="top"/>
          </w:tcPr>
          <w:p>
            <w:pPr>
              <w:spacing w:line="320" w:lineRule="exact"/>
              <w:jc w:val="center"/>
              <w:textAlignment w:val="center"/>
              <w:rPr>
                <w:rFonts w:ascii="宋体" w:hAnsi="宋体" w:cs="仿宋_GB2312"/>
                <w:b/>
                <w:color w:val="000000"/>
                <w:spacing w:val="20"/>
                <w:kern w:val="0"/>
                <w:szCs w:val="21"/>
              </w:rPr>
            </w:pPr>
          </w:p>
        </w:tc>
        <w:tc>
          <w:tcPr>
            <w:tcW w:w="3611" w:type="dxa"/>
            <w:vMerge w:val="continue"/>
            <w:noWrap w:val="0"/>
            <w:vAlign w:val="center"/>
          </w:tcPr>
          <w:p>
            <w:pPr>
              <w:spacing w:line="320" w:lineRule="exact"/>
              <w:textAlignment w:val="center"/>
              <w:rPr>
                <w:rFonts w:ascii="宋体" w:hAnsi="宋体" w:cs="仿宋_GB2312"/>
                <w:color w:val="000000"/>
                <w:szCs w:val="21"/>
              </w:rPr>
            </w:pPr>
          </w:p>
        </w:tc>
        <w:tc>
          <w:tcPr>
            <w:tcW w:w="3795" w:type="dxa"/>
            <w:noWrap w:val="0"/>
            <w:vAlign w:val="center"/>
          </w:tcPr>
          <w:p>
            <w:pPr>
              <w:spacing w:line="320" w:lineRule="exact"/>
              <w:textAlignment w:val="center"/>
              <w:rPr>
                <w:rFonts w:ascii="宋体" w:hAnsi="宋体" w:cs="仿宋_GB2312"/>
                <w:color w:val="000000"/>
                <w:szCs w:val="21"/>
              </w:rPr>
            </w:pPr>
            <w:r>
              <w:rPr>
                <w:rFonts w:ascii="宋体" w:hAnsi="宋体" w:cs="仿宋_GB2312"/>
                <w:color w:val="000000"/>
                <w:kern w:val="0"/>
                <w:szCs w:val="21"/>
              </w:rPr>
              <w:t>2.</w:t>
            </w:r>
            <w:r>
              <w:rPr>
                <w:rFonts w:hint="eastAsia" w:ascii="宋体" w:hAnsi="宋体" w:cs="仿宋_GB2312"/>
                <w:color w:val="000000"/>
                <w:kern w:val="0"/>
                <w:szCs w:val="21"/>
              </w:rPr>
              <w:t>病媒生物防制工作经费（包括聘请专业公司消杀、“三防”设施、专家培训等费用）充足，列入财政专项拨款计划，资金能及时落实到位，可以满足病媒生物防制，特别是公共场所和外环境防制的需要。</w:t>
            </w:r>
          </w:p>
        </w:tc>
        <w:tc>
          <w:tcPr>
            <w:tcW w:w="1785"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kern w:val="0"/>
                <w:szCs w:val="21"/>
              </w:rPr>
              <w:t>各镇（街道）政府（办事处）</w:t>
            </w:r>
          </w:p>
        </w:tc>
        <w:tc>
          <w:tcPr>
            <w:tcW w:w="2340" w:type="dxa"/>
            <w:noWrap w:val="0"/>
            <w:vAlign w:val="center"/>
          </w:tcPr>
          <w:p>
            <w:pPr>
              <w:spacing w:line="320" w:lineRule="exact"/>
              <w:jc w:val="center"/>
              <w:textAlignment w:val="center"/>
              <w:rPr>
                <w:rFonts w:ascii="宋体" w:hAnsi="宋体" w:cs="仿宋_GB2312"/>
                <w:szCs w:val="21"/>
              </w:rPr>
            </w:pPr>
            <w:r>
              <w:rPr>
                <w:rFonts w:hint="eastAsia" w:ascii="宋体" w:hAnsi="宋体" w:cs="仿宋_GB2312"/>
                <w:kern w:val="0"/>
                <w:szCs w:val="21"/>
              </w:rPr>
              <w:t>区财政局、区卫生健康局</w:t>
            </w:r>
          </w:p>
        </w:tc>
        <w:tc>
          <w:tcPr>
            <w:tcW w:w="1980" w:type="dxa"/>
            <w:noWrap w:val="0"/>
            <w:vAlign w:val="center"/>
          </w:tcPr>
          <w:p>
            <w:pPr>
              <w:spacing w:line="320" w:lineRule="exact"/>
              <w:textAlignment w:val="center"/>
              <w:rPr>
                <w:rFonts w:ascii="宋体" w:hAnsi="宋体" w:cs="仿宋_GB2312"/>
                <w:color w:val="000000"/>
                <w:szCs w:val="21"/>
              </w:rPr>
            </w:pPr>
          </w:p>
        </w:tc>
      </w:tr>
    </w:tbl>
    <w:p>
      <w:pPr>
        <w:widowControl/>
        <w:snapToGrid w:val="0"/>
        <w:spacing w:line="220" w:lineRule="exact"/>
        <w:rPr>
          <w:rFonts w:hint="eastAsia" w:ascii="宋体" w:cs="仿宋"/>
          <w:bCs/>
          <w:sz w:val="24"/>
        </w:rPr>
      </w:pPr>
    </w:p>
    <w:p>
      <w:pPr>
        <w:spacing w:line="220" w:lineRule="exact"/>
        <w:ind w:firstLine="640" w:firstLineChars="200"/>
        <w:rPr>
          <w:rFonts w:ascii="仿宋_GB2312" w:hAnsi="仿宋_GB2312" w:eastAsia="仿宋_GB2312" w:cs="仿宋_GB2312"/>
          <w:sz w:val="32"/>
          <w:szCs w:val="32"/>
        </w:rPr>
        <w:sectPr>
          <w:pgSz w:w="16838" w:h="11906" w:orient="landscape"/>
          <w:pgMar w:top="1418" w:right="1418" w:bottom="1418" w:left="1418" w:header="851" w:footer="1134"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90555"/>
    <w:multiLevelType w:val="singleLevel"/>
    <w:tmpl w:val="DB390555"/>
    <w:lvl w:ilvl="0" w:tentative="0">
      <w:start w:val="10"/>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95BED"/>
    <w:rsid w:val="7959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2022-05-27T01:47:00Z</dcterms:created>
  <dc:creator>Administrator</dc:creator>
  <cp:lastModifiedBy>Administrator</cp:lastModifiedBy>
  <dcterms:modified xsi:type="dcterms:W3CDTF">2022-05-27T01:49:48Z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