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jc w:val="center"/>
        <w:rPr>
          <w:rFonts w:ascii="仿宋" w:hAnsi="仿宋" w:eastAsia="仿宋" w:cs="仿宋"/>
          <w:b/>
          <w:bCs/>
          <w:spacing w:val="11"/>
          <w:sz w:val="44"/>
          <w:szCs w:val="44"/>
          <w:lang w:eastAsia="zh-CN"/>
        </w:rPr>
      </w:pPr>
      <w:r>
        <w:rPr>
          <w:rFonts w:hint="eastAsia" w:ascii="仿宋" w:hAnsi="仿宋" w:eastAsia="仿宋" w:cs="仿宋"/>
          <w:b/>
          <w:bCs/>
          <w:spacing w:val="-2"/>
          <w:sz w:val="44"/>
          <w:szCs w:val="44"/>
          <w:lang w:eastAsia="zh-CN"/>
        </w:rPr>
        <w:t>揭阳市榕城区2022年度土地征收成片开</w:t>
      </w:r>
      <w:r>
        <w:rPr>
          <w:rFonts w:hint="eastAsia" w:ascii="仿宋" w:hAnsi="仿宋" w:eastAsia="仿宋" w:cs="仿宋"/>
          <w:b/>
          <w:bCs/>
          <w:spacing w:val="11"/>
          <w:sz w:val="44"/>
          <w:szCs w:val="44"/>
          <w:lang w:eastAsia="zh-CN"/>
        </w:rPr>
        <w:t>发</w:t>
      </w:r>
    </w:p>
    <w:p>
      <w:pPr>
        <w:jc w:val="center"/>
        <w:rPr>
          <w:rFonts w:ascii="微软雅黑" w:hAnsi="微软雅黑" w:eastAsia="微软雅黑" w:cs="微软雅黑"/>
          <w:sz w:val="43"/>
          <w:szCs w:val="43"/>
          <w:lang w:eastAsia="zh-CN"/>
        </w:rPr>
      </w:pPr>
      <w:r>
        <w:rPr>
          <w:rFonts w:hint="eastAsia" w:ascii="仿宋" w:hAnsi="仿宋" w:eastAsia="仿宋" w:cs="仿宋"/>
          <w:b/>
          <w:bCs/>
          <w:spacing w:val="11"/>
          <w:sz w:val="44"/>
          <w:szCs w:val="44"/>
          <w:lang w:eastAsia="zh-CN"/>
        </w:rPr>
        <w:t>方案（调整）</w:t>
      </w:r>
      <w:r>
        <w:rPr>
          <w:rFonts w:hint="eastAsia" w:ascii="仿宋" w:hAnsi="仿宋" w:eastAsia="仿宋" w:cs="仿宋"/>
          <w:b/>
          <w:bCs/>
          <w:spacing w:val="16"/>
          <w:sz w:val="44"/>
          <w:szCs w:val="44"/>
          <w:lang w:eastAsia="zh-CN"/>
        </w:rPr>
        <w:t>（公示草案）</w:t>
      </w:r>
    </w:p>
    <w:p>
      <w:pPr>
        <w:spacing w:line="360" w:lineRule="auto"/>
        <w:rPr>
          <w:lang w:eastAsia="zh-CN"/>
        </w:rPr>
      </w:pPr>
    </w:p>
    <w:p>
      <w:pPr>
        <w:spacing w:line="360" w:lineRule="auto"/>
        <w:outlineLvl w:val="0"/>
        <w:rPr>
          <w:rFonts w:ascii="仿宋" w:hAnsi="仿宋" w:eastAsia="仿宋" w:cs="仿宋"/>
          <w:sz w:val="28"/>
          <w:szCs w:val="28"/>
          <w:lang w:eastAsia="zh-CN"/>
        </w:rPr>
      </w:pPr>
      <w:r>
        <w:rPr>
          <w:rFonts w:hint="eastAsia" w:ascii="仿宋" w:hAnsi="仿宋" w:eastAsia="仿宋" w:cs="仿宋"/>
          <w:spacing w:val="3"/>
          <w:sz w:val="28"/>
          <w:szCs w:val="28"/>
          <w:lang w:eastAsia="zh-CN"/>
          <w14:textOutline w14:w="5791" w14:cap="sq" w14:cmpd="sng" w14:algn="ctr">
            <w14:solidFill>
              <w14:srgbClr w14:val="000000"/>
            </w14:solidFill>
            <w14:prstDash w14:val="solid"/>
            <w14:bevel/>
          </w14:textOutline>
        </w:rPr>
        <w:t>一、调整依据</w:t>
      </w:r>
    </w:p>
    <w:p>
      <w:pPr>
        <w:pStyle w:val="2"/>
        <w:spacing w:line="360" w:lineRule="auto"/>
        <w:ind w:firstLine="580" w:firstLineChars="200"/>
        <w:rPr>
          <w:sz w:val="28"/>
          <w:szCs w:val="28"/>
          <w:lang w:eastAsia="zh-CN"/>
        </w:rPr>
      </w:pPr>
      <w:r>
        <w:rPr>
          <w:rFonts w:hint="eastAsia"/>
          <w:spacing w:val="5"/>
          <w:sz w:val="28"/>
          <w:szCs w:val="28"/>
          <w:lang w:eastAsia="zh-CN"/>
        </w:rPr>
        <w:t>依据《中华人民共和国土地管理法》（2019年修订）、</w:t>
      </w:r>
      <w:r>
        <w:rPr>
          <w:rFonts w:hint="eastAsia"/>
          <w:spacing w:val="21"/>
          <w:sz w:val="28"/>
          <w:szCs w:val="28"/>
          <w:lang w:eastAsia="zh-CN"/>
        </w:rPr>
        <w:t>《广东省自然资源厅印发关于规范土地征收成片开发工作</w:t>
      </w:r>
      <w:r>
        <w:rPr>
          <w:rFonts w:hint="eastAsia"/>
          <w:spacing w:val="4"/>
          <w:sz w:val="28"/>
          <w:szCs w:val="28"/>
          <w:lang w:eastAsia="zh-CN"/>
        </w:rPr>
        <w:t>的通知》（粤自然资发〔2021〕20号）、《广东省自然资源</w:t>
      </w:r>
      <w:r>
        <w:rPr>
          <w:rFonts w:hint="eastAsia"/>
          <w:spacing w:val="20"/>
          <w:sz w:val="28"/>
          <w:szCs w:val="28"/>
          <w:lang w:eastAsia="zh-CN"/>
        </w:rPr>
        <w:t>厅关于规范已批土地征收成片开发方案调整工作的通知》</w:t>
      </w:r>
      <w:r>
        <w:rPr>
          <w:rFonts w:hint="eastAsia"/>
          <w:spacing w:val="9"/>
          <w:sz w:val="28"/>
          <w:szCs w:val="28"/>
          <w:lang w:eastAsia="zh-CN"/>
        </w:rPr>
        <w:t>（粤自然资函〔2023〕210号）等相关文件，编制《揭阳市</w:t>
      </w:r>
      <w:r>
        <w:rPr>
          <w:rFonts w:hint="eastAsia"/>
          <w:spacing w:val="5"/>
          <w:sz w:val="28"/>
          <w:szCs w:val="28"/>
          <w:lang w:eastAsia="zh-CN"/>
        </w:rPr>
        <w:t>榕城区2022年度土地征收成片开发方案（调整）》。</w:t>
      </w:r>
    </w:p>
    <w:p>
      <w:pPr>
        <w:spacing w:line="360" w:lineRule="auto"/>
        <w:outlineLvl w:val="0"/>
        <w:rPr>
          <w:rFonts w:ascii="仿宋" w:hAnsi="仿宋" w:eastAsia="仿宋" w:cs="仿宋"/>
          <w:spacing w:val="3"/>
          <w:sz w:val="28"/>
          <w:szCs w:val="28"/>
          <w:lang w:eastAsia="zh-CN"/>
          <w14:textOutline w14:w="5791" w14:cap="sq" w14:cmpd="sng" w14:algn="ctr">
            <w14:solidFill>
              <w14:srgbClr w14:val="000000"/>
            </w14:solidFill>
            <w14:prstDash w14:val="solid"/>
            <w14:bevel/>
          </w14:textOutline>
        </w:rPr>
      </w:pPr>
      <w:r>
        <w:rPr>
          <w:rFonts w:hint="eastAsia" w:ascii="仿宋" w:hAnsi="仿宋" w:eastAsia="仿宋" w:cs="仿宋"/>
          <w:spacing w:val="3"/>
          <w:sz w:val="28"/>
          <w:szCs w:val="28"/>
          <w:lang w:eastAsia="zh-CN"/>
          <w14:textOutline w14:w="5791" w14:cap="sq" w14:cmpd="sng" w14:algn="ctr">
            <w14:solidFill>
              <w14:srgbClr w14:val="000000"/>
            </w14:solidFill>
            <w14:prstDash w14:val="solid"/>
            <w14:bevel/>
          </w14:textOutline>
        </w:rPr>
        <w:t>二、调整基本情况</w:t>
      </w:r>
    </w:p>
    <w:p>
      <w:pPr>
        <w:pStyle w:val="2"/>
        <w:spacing w:line="360" w:lineRule="auto"/>
        <w:ind w:firstLine="592" w:firstLineChars="200"/>
        <w:rPr>
          <w:sz w:val="28"/>
          <w:szCs w:val="28"/>
          <w:lang w:eastAsia="zh-CN"/>
        </w:rPr>
      </w:pPr>
      <w:r>
        <w:rPr>
          <w:rFonts w:hint="eastAsia"/>
          <w:spacing w:val="8"/>
          <w:sz w:val="28"/>
          <w:szCs w:val="28"/>
          <w:lang w:eastAsia="zh-CN"/>
          <w14:textOutline w14:w="5791" w14:cap="sq" w14:cmpd="sng" w14:algn="ctr">
            <w14:solidFill>
              <w14:srgbClr w14:val="000000"/>
            </w14:solidFill>
            <w14:prstDash w14:val="solid"/>
            <w14:bevel/>
          </w14:textOutline>
        </w:rPr>
        <w:t>（一）原方案基本情况</w:t>
      </w:r>
    </w:p>
    <w:p>
      <w:pPr>
        <w:pStyle w:val="2"/>
        <w:spacing w:line="360" w:lineRule="auto"/>
        <w:ind w:firstLine="644" w:firstLineChars="200"/>
        <w:rPr>
          <w:spacing w:val="21"/>
          <w:sz w:val="28"/>
          <w:szCs w:val="28"/>
          <w:lang w:eastAsia="zh-CN"/>
        </w:rPr>
      </w:pPr>
      <w:r>
        <w:rPr>
          <w:rFonts w:hint="eastAsia"/>
          <w:spacing w:val="21"/>
          <w:sz w:val="28"/>
          <w:szCs w:val="28"/>
          <w:lang w:eastAsia="zh-CN"/>
        </w:rPr>
        <w:t>揭阳市榕城区2022年度土地征收成片开发方案原成片开发范围面积115.5531公顷，拟实施征收面积78.4386公顷，项目计划于2022-2023年期间实施。方案已于2022年</w:t>
      </w:r>
      <w:r>
        <w:rPr>
          <w:spacing w:val="21"/>
          <w:sz w:val="28"/>
          <w:szCs w:val="28"/>
          <w:lang w:eastAsia="zh-CN"/>
        </w:rPr>
        <w:t>10</w:t>
      </w:r>
      <w:r>
        <w:rPr>
          <w:rFonts w:hint="eastAsia"/>
          <w:spacing w:val="21"/>
          <w:sz w:val="28"/>
          <w:szCs w:val="28"/>
          <w:lang w:eastAsia="zh-CN"/>
        </w:rPr>
        <w:t>月</w:t>
      </w:r>
      <w:r>
        <w:rPr>
          <w:spacing w:val="21"/>
          <w:sz w:val="28"/>
          <w:szCs w:val="28"/>
          <w:lang w:eastAsia="zh-CN"/>
        </w:rPr>
        <w:t>31</w:t>
      </w:r>
      <w:r>
        <w:rPr>
          <w:rFonts w:hint="eastAsia"/>
          <w:spacing w:val="21"/>
          <w:sz w:val="28"/>
          <w:szCs w:val="28"/>
          <w:lang w:eastAsia="zh-CN"/>
        </w:rPr>
        <w:t>日取得批复（粤府土审成片（2</w:t>
      </w:r>
      <w:r>
        <w:rPr>
          <w:spacing w:val="21"/>
          <w:sz w:val="28"/>
          <w:szCs w:val="28"/>
          <w:lang w:eastAsia="zh-CN"/>
        </w:rPr>
        <w:t>1</w:t>
      </w:r>
      <w:r>
        <w:rPr>
          <w:rFonts w:hint="eastAsia"/>
          <w:spacing w:val="21"/>
          <w:sz w:val="28"/>
          <w:szCs w:val="28"/>
          <w:lang w:eastAsia="zh-CN"/>
        </w:rPr>
        <w:t>）〔2022〕</w:t>
      </w:r>
      <w:r>
        <w:rPr>
          <w:spacing w:val="21"/>
          <w:sz w:val="28"/>
          <w:szCs w:val="28"/>
          <w:lang w:eastAsia="zh-CN"/>
        </w:rPr>
        <w:t>1</w:t>
      </w:r>
      <w:r>
        <w:rPr>
          <w:rFonts w:hint="eastAsia"/>
          <w:spacing w:val="21"/>
          <w:sz w:val="28"/>
          <w:szCs w:val="28"/>
          <w:lang w:eastAsia="zh-CN"/>
        </w:rPr>
        <w:t>号）。</w:t>
      </w:r>
    </w:p>
    <w:p>
      <w:pPr>
        <w:pStyle w:val="2"/>
        <w:spacing w:line="360" w:lineRule="auto"/>
        <w:ind w:firstLine="588" w:firstLineChars="200"/>
        <w:rPr>
          <w:sz w:val="28"/>
          <w:szCs w:val="28"/>
          <w:lang w:eastAsia="zh-CN"/>
        </w:rPr>
      </w:pPr>
      <w:r>
        <w:rPr>
          <w:rFonts w:hint="eastAsia"/>
          <w:spacing w:val="7"/>
          <w:sz w:val="28"/>
          <w:szCs w:val="28"/>
          <w:lang w:eastAsia="zh-CN"/>
          <w14:textOutline w14:w="5791" w14:cap="sq" w14:cmpd="sng" w14:algn="ctr">
            <w14:solidFill>
              <w14:srgbClr w14:val="000000"/>
            </w14:solidFill>
            <w14:prstDash w14:val="solid"/>
            <w14:bevel/>
          </w14:textOutline>
        </w:rPr>
        <w:t>（二）调整的原因</w:t>
      </w:r>
    </w:p>
    <w:p>
      <w:pPr>
        <w:pStyle w:val="2"/>
        <w:spacing w:line="360" w:lineRule="auto"/>
        <w:ind w:firstLine="584" w:firstLineChars="200"/>
        <w:rPr>
          <w:spacing w:val="6"/>
          <w:position w:val="17"/>
          <w:sz w:val="28"/>
          <w:szCs w:val="28"/>
          <w:lang w:eastAsia="zh-CN"/>
        </w:rPr>
      </w:pPr>
      <w:r>
        <w:rPr>
          <w:rFonts w:hint="eastAsia"/>
          <w:spacing w:val="6"/>
          <w:position w:val="17"/>
          <w:sz w:val="28"/>
          <w:szCs w:val="28"/>
          <w:lang w:eastAsia="zh-CN"/>
        </w:rPr>
        <w:t>由于榕城区经济建设项目的调整，导致原批准的土地征收成片开发方案需要调整。</w:t>
      </w:r>
    </w:p>
    <w:p>
      <w:pPr>
        <w:pStyle w:val="2"/>
        <w:spacing w:line="360" w:lineRule="auto"/>
        <w:ind w:firstLine="588" w:firstLineChars="200"/>
        <w:rPr>
          <w:sz w:val="28"/>
          <w:szCs w:val="28"/>
          <w:lang w:eastAsia="zh-CN"/>
        </w:rPr>
      </w:pPr>
      <w:r>
        <w:rPr>
          <w:rFonts w:hint="eastAsia"/>
          <w:spacing w:val="7"/>
          <w:sz w:val="28"/>
          <w:szCs w:val="28"/>
          <w:lang w:eastAsia="zh-CN"/>
          <w14:textOutline w14:w="5791" w14:cap="sq" w14:cmpd="sng" w14:algn="ctr">
            <w14:solidFill>
              <w14:srgbClr w14:val="000000"/>
            </w14:solidFill>
            <w14:prstDash w14:val="solid"/>
            <w14:bevel/>
          </w14:textOutline>
        </w:rPr>
        <w:t>（三）调整的内容</w:t>
      </w:r>
    </w:p>
    <w:p>
      <w:pPr>
        <w:pStyle w:val="2"/>
        <w:spacing w:line="360" w:lineRule="auto"/>
        <w:ind w:firstLine="644" w:firstLineChars="200"/>
        <w:rPr>
          <w:sz w:val="28"/>
          <w:szCs w:val="28"/>
          <w:lang w:eastAsia="zh-CN"/>
        </w:rPr>
      </w:pPr>
      <w:r>
        <w:rPr>
          <w:rFonts w:hint="eastAsia"/>
          <w:spacing w:val="21"/>
          <w:sz w:val="28"/>
          <w:szCs w:val="28"/>
          <w:lang w:eastAsia="zh-CN"/>
        </w:rPr>
        <w:t>本次调整的范围涉及原批准方案中的1个片区，为登岗光明片区。</w:t>
      </w:r>
      <w:r>
        <w:rPr>
          <w:rFonts w:hint="eastAsia"/>
          <w:spacing w:val="5"/>
          <w:sz w:val="28"/>
          <w:szCs w:val="28"/>
          <w:lang w:eastAsia="zh-CN"/>
        </w:rPr>
        <w:t>调整内容如下：</w:t>
      </w:r>
    </w:p>
    <w:p>
      <w:pPr>
        <w:pStyle w:val="2"/>
        <w:spacing w:line="360" w:lineRule="auto"/>
        <w:ind w:firstLine="644" w:firstLineChars="200"/>
        <w:rPr>
          <w:spacing w:val="21"/>
          <w:sz w:val="28"/>
          <w:szCs w:val="28"/>
          <w:lang w:eastAsia="zh-CN"/>
        </w:rPr>
      </w:pPr>
      <w:r>
        <w:rPr>
          <w:rFonts w:hint="eastAsia"/>
          <w:spacing w:val="21"/>
          <w:sz w:val="28"/>
          <w:szCs w:val="28"/>
          <w:lang w:eastAsia="zh-CN"/>
        </w:rPr>
        <w:t>登岗光明片区：增加片区拟征收范围与减少成片开发范围。其中，拟征收范围由原6.5160公顷增加到7.7446公顷，成片开发范围由原10.7635减少到8.3531公顷。</w:t>
      </w:r>
    </w:p>
    <w:p>
      <w:pPr>
        <w:pStyle w:val="2"/>
        <w:spacing w:line="360" w:lineRule="auto"/>
        <w:ind w:firstLine="592" w:firstLineChars="200"/>
        <w:rPr>
          <w:sz w:val="28"/>
          <w:szCs w:val="28"/>
          <w:lang w:eastAsia="zh-CN"/>
        </w:rPr>
      </w:pPr>
      <w:r>
        <w:rPr>
          <w:rFonts w:hint="eastAsia"/>
          <w:spacing w:val="8"/>
          <w:sz w:val="28"/>
          <w:szCs w:val="28"/>
          <w:lang w:eastAsia="zh-CN"/>
        </w:rPr>
        <w:t>本次调整后拟征收地块涉及的村镇农民集体分别为：</w:t>
      </w:r>
    </w:p>
    <w:p>
      <w:pPr>
        <w:pStyle w:val="2"/>
        <w:spacing w:line="360" w:lineRule="auto"/>
        <w:ind w:firstLine="564" w:firstLineChars="200"/>
        <w:rPr>
          <w:sz w:val="28"/>
          <w:szCs w:val="28"/>
          <w:lang w:eastAsia="zh-CN"/>
        </w:rPr>
      </w:pPr>
      <w:r>
        <w:rPr>
          <w:rFonts w:hint="eastAsia"/>
          <w:spacing w:val="1"/>
          <w:position w:val="17"/>
          <w:sz w:val="28"/>
          <w:szCs w:val="28"/>
          <w:lang w:eastAsia="zh-CN"/>
        </w:rPr>
        <w:t>拟征收登岗镇光明村光明经济联合社2.</w:t>
      </w:r>
      <w:r>
        <w:rPr>
          <w:spacing w:val="1"/>
          <w:position w:val="17"/>
          <w:sz w:val="28"/>
          <w:szCs w:val="28"/>
          <w:lang w:eastAsia="zh-CN"/>
        </w:rPr>
        <w:t>5000</w:t>
      </w:r>
      <w:r>
        <w:rPr>
          <w:rFonts w:hint="eastAsia"/>
          <w:spacing w:val="1"/>
          <w:position w:val="17"/>
          <w:sz w:val="28"/>
          <w:szCs w:val="28"/>
          <w:lang w:eastAsia="zh-CN"/>
        </w:rPr>
        <w:t>公顷、登岗镇光明村河溪经济联合社1.6231公顷、登岗镇西淇村白龙经济联合社3.4381公顷、登岗镇西淇村西二经济联合社0.183</w:t>
      </w:r>
      <w:r>
        <w:rPr>
          <w:spacing w:val="1"/>
          <w:position w:val="17"/>
          <w:sz w:val="28"/>
          <w:szCs w:val="28"/>
          <w:lang w:eastAsia="zh-CN"/>
        </w:rPr>
        <w:t>4</w:t>
      </w:r>
      <w:r>
        <w:rPr>
          <w:rFonts w:hint="eastAsia"/>
          <w:spacing w:val="1"/>
          <w:position w:val="17"/>
          <w:sz w:val="28"/>
          <w:szCs w:val="28"/>
          <w:lang w:eastAsia="zh-CN"/>
        </w:rPr>
        <w:t>公顷。</w:t>
      </w:r>
    </w:p>
    <w:p>
      <w:pPr>
        <w:pStyle w:val="2"/>
        <w:spacing w:line="360" w:lineRule="auto"/>
        <w:jc w:val="center"/>
        <w:rPr>
          <w:sz w:val="28"/>
          <w:szCs w:val="28"/>
          <w:lang w:eastAsia="zh-CN"/>
        </w:rPr>
      </w:pPr>
      <w:r>
        <w:rPr>
          <w:rFonts w:hint="eastAsia"/>
          <w:spacing w:val="-1"/>
          <w:sz w:val="28"/>
          <w:szCs w:val="28"/>
          <w:lang w:eastAsia="zh-CN"/>
          <w14:textOutline w14:w="5105" w14:cap="sq" w14:cmpd="sng" w14:algn="ctr">
            <w14:solidFill>
              <w14:srgbClr w14:val="000000"/>
            </w14:solidFill>
            <w14:prstDash w14:val="solid"/>
            <w14:bevel/>
          </w14:textOutline>
        </w:rPr>
        <w:t>表</w:t>
      </w:r>
      <w:r>
        <w:rPr>
          <w:rFonts w:hint="eastAsia"/>
          <w:b/>
          <w:bCs/>
          <w:spacing w:val="-1"/>
          <w:sz w:val="28"/>
          <w:szCs w:val="28"/>
          <w:lang w:eastAsia="zh-CN"/>
        </w:rPr>
        <w:t>2-1</w:t>
      </w:r>
      <w:r>
        <w:rPr>
          <w:rFonts w:hint="eastAsia"/>
          <w:spacing w:val="-1"/>
          <w:sz w:val="28"/>
          <w:szCs w:val="28"/>
          <w:lang w:eastAsia="zh-CN"/>
          <w14:textOutline w14:w="5105" w14:cap="sq" w14:cmpd="sng" w14:algn="ctr">
            <w14:solidFill>
              <w14:srgbClr w14:val="000000"/>
            </w14:solidFill>
            <w14:prstDash w14:val="solid"/>
            <w14:bevel/>
          </w14:textOutline>
        </w:rPr>
        <w:t>调整地块各村社征地面积一览表</w:t>
      </w:r>
    </w:p>
    <w:tbl>
      <w:tblPr>
        <w:tblStyle w:val="6"/>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02"/>
        <w:gridCol w:w="5062"/>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15" w:type="pct"/>
            <w:vAlign w:val="center"/>
          </w:tcPr>
          <w:p>
            <w:pPr>
              <w:widowControl/>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编号</w:t>
            </w:r>
          </w:p>
        </w:tc>
        <w:tc>
          <w:tcPr>
            <w:tcW w:w="670" w:type="pct"/>
            <w:vAlign w:val="center"/>
          </w:tcPr>
          <w:p>
            <w:pPr>
              <w:widowControl/>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镇名</w:t>
            </w:r>
          </w:p>
        </w:tc>
        <w:tc>
          <w:tcPr>
            <w:tcW w:w="2822" w:type="pct"/>
            <w:vAlign w:val="center"/>
          </w:tcPr>
          <w:p>
            <w:pPr>
              <w:widowControl/>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土地权属</w:t>
            </w:r>
          </w:p>
        </w:tc>
        <w:tc>
          <w:tcPr>
            <w:tcW w:w="1091" w:type="pct"/>
            <w:vAlign w:val="center"/>
          </w:tcPr>
          <w:p>
            <w:pPr>
              <w:widowControl/>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拟征地面积</w:t>
            </w:r>
          </w:p>
          <w:p>
            <w:pPr>
              <w:widowControl/>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15"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670" w:type="pct"/>
            <w:vMerge w:val="restart"/>
            <w:vAlign w:val="center"/>
          </w:tcPr>
          <w:p>
            <w:pPr>
              <w:widowControl/>
              <w:jc w:val="center"/>
              <w:rPr>
                <w:rFonts w:ascii="仿宋" w:hAnsi="仿宋" w:eastAsia="仿宋" w:cs="仿宋"/>
                <w:sz w:val="28"/>
                <w:szCs w:val="28"/>
              </w:rPr>
            </w:pPr>
            <w:r>
              <w:rPr>
                <w:rFonts w:hint="eastAsia" w:ascii="仿宋" w:hAnsi="仿宋" w:eastAsia="仿宋" w:cs="仿宋"/>
                <w:sz w:val="28"/>
                <w:szCs w:val="28"/>
              </w:rPr>
              <w:t>登岗镇</w:t>
            </w:r>
          </w:p>
        </w:tc>
        <w:tc>
          <w:tcPr>
            <w:tcW w:w="2822"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登岗镇光明村光明经济联合社</w:t>
            </w:r>
          </w:p>
        </w:tc>
        <w:tc>
          <w:tcPr>
            <w:tcW w:w="1091"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15"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670" w:type="pct"/>
            <w:vMerge w:val="continue"/>
            <w:vAlign w:val="center"/>
          </w:tcPr>
          <w:p>
            <w:pPr>
              <w:widowControl/>
              <w:jc w:val="center"/>
              <w:rPr>
                <w:rFonts w:ascii="仿宋" w:hAnsi="仿宋" w:eastAsia="仿宋" w:cs="仿宋"/>
                <w:sz w:val="28"/>
                <w:szCs w:val="28"/>
              </w:rPr>
            </w:pPr>
          </w:p>
        </w:tc>
        <w:tc>
          <w:tcPr>
            <w:tcW w:w="2822"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登岗镇光明村河溪经济合作社</w:t>
            </w:r>
          </w:p>
        </w:tc>
        <w:tc>
          <w:tcPr>
            <w:tcW w:w="1091"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1.6231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15"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670" w:type="pct"/>
            <w:vMerge w:val="continue"/>
            <w:vAlign w:val="center"/>
          </w:tcPr>
          <w:p>
            <w:pPr>
              <w:widowControl/>
              <w:jc w:val="center"/>
              <w:rPr>
                <w:rFonts w:ascii="仿宋" w:hAnsi="仿宋" w:eastAsia="仿宋" w:cs="仿宋"/>
                <w:sz w:val="28"/>
                <w:szCs w:val="28"/>
              </w:rPr>
            </w:pPr>
          </w:p>
        </w:tc>
        <w:tc>
          <w:tcPr>
            <w:tcW w:w="2822"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登岗镇西淇村白龙经济联合社</w:t>
            </w:r>
          </w:p>
        </w:tc>
        <w:tc>
          <w:tcPr>
            <w:tcW w:w="1091"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3.4381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15"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670" w:type="pct"/>
            <w:vMerge w:val="continue"/>
            <w:vAlign w:val="center"/>
          </w:tcPr>
          <w:p>
            <w:pPr>
              <w:widowControl/>
              <w:jc w:val="center"/>
              <w:rPr>
                <w:rFonts w:ascii="仿宋" w:hAnsi="仿宋" w:eastAsia="仿宋" w:cs="仿宋"/>
                <w:sz w:val="28"/>
                <w:szCs w:val="28"/>
              </w:rPr>
            </w:pPr>
          </w:p>
        </w:tc>
        <w:tc>
          <w:tcPr>
            <w:tcW w:w="2822" w:type="pct"/>
            <w:vAlign w:val="center"/>
          </w:tcPr>
          <w:p>
            <w:pPr>
              <w:widowControl/>
              <w:jc w:val="center"/>
              <w:rPr>
                <w:rFonts w:ascii="仿宋" w:hAnsi="仿宋" w:eastAsia="仿宋" w:cs="仿宋"/>
                <w:sz w:val="28"/>
                <w:szCs w:val="28"/>
                <w:lang w:eastAsia="zh-CN"/>
              </w:rPr>
            </w:pPr>
            <w:r>
              <w:rPr>
                <w:rFonts w:hint="eastAsia" w:ascii="仿宋" w:hAnsi="仿宋" w:eastAsia="仿宋" w:cs="仿宋"/>
                <w:sz w:val="28"/>
                <w:szCs w:val="28"/>
                <w:lang w:eastAsia="zh-CN"/>
              </w:rPr>
              <w:t>登岗镇西淇村西二经济合作社</w:t>
            </w:r>
          </w:p>
        </w:tc>
        <w:tc>
          <w:tcPr>
            <w:tcW w:w="1091"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0.183</w:t>
            </w:r>
            <w:r>
              <w:rPr>
                <w:rFonts w:ascii="仿宋" w:hAnsi="仿宋" w:eastAsia="仿宋" w:cs="仿宋"/>
                <w:sz w:val="28"/>
                <w:szCs w:val="28"/>
              </w:rPr>
              <w:t>4</w:t>
            </w:r>
          </w:p>
        </w:tc>
      </w:tr>
    </w:tbl>
    <w:p>
      <w:pPr>
        <w:spacing w:before="240" w:beforeLines="100" w:line="360" w:lineRule="auto"/>
        <w:outlineLvl w:val="0"/>
        <w:rPr>
          <w:rFonts w:ascii="仿宋" w:hAnsi="仿宋" w:eastAsia="仿宋" w:cs="仿宋"/>
          <w:spacing w:val="3"/>
          <w:sz w:val="28"/>
          <w:szCs w:val="28"/>
          <w:lang w:eastAsia="zh-CN"/>
          <w14:textOutline w14:w="5791" w14:cap="sq" w14:cmpd="sng" w14:algn="ctr">
            <w14:solidFill>
              <w14:srgbClr w14:val="000000"/>
            </w14:solidFill>
            <w14:prstDash w14:val="solid"/>
            <w14:bevel/>
          </w14:textOutline>
        </w:rPr>
      </w:pPr>
      <w:r>
        <w:rPr>
          <w:rFonts w:hint="eastAsia" w:ascii="仿宋" w:hAnsi="仿宋" w:eastAsia="仿宋" w:cs="仿宋"/>
          <w:spacing w:val="3"/>
          <w:sz w:val="28"/>
          <w:szCs w:val="28"/>
          <w:lang w:eastAsia="zh-CN"/>
          <w14:textOutline w14:w="5791" w14:cap="sq" w14:cmpd="sng" w14:algn="ctr">
            <w14:solidFill>
              <w14:srgbClr w14:val="000000"/>
            </w14:solidFill>
            <w14:prstDash w14:val="solid"/>
            <w14:bevel/>
          </w14:textOutline>
        </w:rPr>
        <w:t>三、调整的必要性与合理性分析</w:t>
      </w:r>
    </w:p>
    <w:p>
      <w:pPr>
        <w:pStyle w:val="2"/>
        <w:spacing w:line="360" w:lineRule="auto"/>
        <w:ind w:firstLine="588" w:firstLineChars="200"/>
        <w:rPr>
          <w:sz w:val="28"/>
          <w:szCs w:val="28"/>
          <w:lang w:eastAsia="zh-CN"/>
        </w:rPr>
      </w:pPr>
      <w:r>
        <w:rPr>
          <w:rFonts w:hint="eastAsia"/>
          <w:spacing w:val="7"/>
          <w:sz w:val="28"/>
          <w:szCs w:val="28"/>
          <w:lang w:eastAsia="zh-CN"/>
          <w14:textOutline w14:w="5791" w14:cap="sq" w14:cmpd="sng" w14:algn="ctr">
            <w14:solidFill>
              <w14:srgbClr w14:val="000000"/>
            </w14:solidFill>
            <w14:prstDash w14:val="solid"/>
            <w14:bevel/>
          </w14:textOutline>
        </w:rPr>
        <w:t>（一）必要性分析</w:t>
      </w:r>
    </w:p>
    <w:p>
      <w:pPr>
        <w:pStyle w:val="2"/>
        <w:spacing w:line="360" w:lineRule="auto"/>
        <w:ind w:firstLine="592" w:firstLineChars="200"/>
        <w:rPr>
          <w:sz w:val="28"/>
          <w:szCs w:val="28"/>
          <w:lang w:eastAsia="zh-CN"/>
        </w:rPr>
      </w:pPr>
      <w:r>
        <w:rPr>
          <w:rFonts w:hint="eastAsia"/>
          <w:spacing w:val="8"/>
          <w:sz w:val="28"/>
          <w:szCs w:val="28"/>
          <w:lang w:eastAsia="zh-CN"/>
        </w:rPr>
        <w:t>本次土地征收成片开发调整是由于社会发展年度计划、</w:t>
      </w:r>
      <w:r>
        <w:rPr>
          <w:rFonts w:hint="eastAsia"/>
          <w:spacing w:val="21"/>
          <w:sz w:val="28"/>
          <w:szCs w:val="28"/>
          <w:lang w:eastAsia="zh-CN"/>
        </w:rPr>
        <w:t>经济建设计划等不可抗力因素导致原批准的土地征收成片</w:t>
      </w:r>
      <w:r>
        <w:rPr>
          <w:rFonts w:hint="eastAsia"/>
          <w:spacing w:val="8"/>
          <w:sz w:val="28"/>
          <w:szCs w:val="28"/>
          <w:lang w:eastAsia="zh-CN"/>
        </w:rPr>
        <w:t>开发方案需要调整。因此，亟需启动本次调整方案工作，为</w:t>
      </w:r>
      <w:r>
        <w:rPr>
          <w:rFonts w:hint="eastAsia"/>
          <w:spacing w:val="7"/>
          <w:sz w:val="28"/>
          <w:szCs w:val="28"/>
          <w:lang w:eastAsia="zh-CN"/>
        </w:rPr>
        <w:t>项目的建设解决后顾之忧。</w:t>
      </w:r>
    </w:p>
    <w:p>
      <w:pPr>
        <w:pStyle w:val="2"/>
        <w:spacing w:line="360" w:lineRule="auto"/>
        <w:ind w:firstLine="588" w:firstLineChars="200"/>
        <w:rPr>
          <w:sz w:val="28"/>
          <w:szCs w:val="28"/>
          <w:lang w:eastAsia="zh-CN"/>
        </w:rPr>
      </w:pPr>
      <w:r>
        <w:rPr>
          <w:rFonts w:hint="eastAsia"/>
          <w:spacing w:val="7"/>
          <w:sz w:val="28"/>
          <w:szCs w:val="28"/>
          <w:lang w:eastAsia="zh-CN"/>
          <w14:textOutline w14:w="5791" w14:cap="sq" w14:cmpd="sng" w14:algn="ctr">
            <w14:solidFill>
              <w14:srgbClr w14:val="000000"/>
            </w14:solidFill>
            <w14:prstDash w14:val="solid"/>
            <w14:bevel/>
          </w14:textOutline>
        </w:rPr>
        <w:t>（二）合规性分析</w:t>
      </w:r>
    </w:p>
    <w:p>
      <w:pPr>
        <w:pStyle w:val="2"/>
        <w:spacing w:line="360" w:lineRule="auto"/>
        <w:ind w:firstLine="588" w:firstLineChars="200"/>
        <w:jc w:val="both"/>
        <w:rPr>
          <w:sz w:val="28"/>
          <w:szCs w:val="28"/>
          <w:lang w:eastAsia="zh-CN"/>
        </w:rPr>
      </w:pPr>
      <w:r>
        <w:rPr>
          <w:rFonts w:hint="eastAsia"/>
          <w:spacing w:val="7"/>
          <w:sz w:val="28"/>
          <w:szCs w:val="28"/>
          <w:lang w:eastAsia="zh-CN"/>
        </w:rPr>
        <w:t>榕城区不存在大量批而未供或闲置土地，土地利用效率</w:t>
      </w:r>
      <w:r>
        <w:rPr>
          <w:rFonts w:hint="eastAsia"/>
          <w:spacing w:val="8"/>
          <w:sz w:val="28"/>
          <w:szCs w:val="28"/>
          <w:lang w:eastAsia="zh-CN"/>
        </w:rPr>
        <w:t>较高。本次成片开发所涉及的项目已纳入国民经济和社会发</w:t>
      </w:r>
      <w:r>
        <w:rPr>
          <w:rFonts w:hint="eastAsia"/>
          <w:spacing w:val="21"/>
          <w:sz w:val="28"/>
          <w:szCs w:val="28"/>
          <w:lang w:eastAsia="zh-CN"/>
        </w:rPr>
        <w:t>展年度计划和国土空间规划确定的城镇开发边界的集</w:t>
      </w:r>
      <w:r>
        <w:rPr>
          <w:rFonts w:hint="eastAsia"/>
          <w:spacing w:val="5"/>
          <w:sz w:val="28"/>
          <w:szCs w:val="28"/>
          <w:lang w:eastAsia="zh-CN"/>
        </w:rPr>
        <w:t>中建设区，各片区公益性用地比例均大于40%，不涉及占用</w:t>
      </w:r>
      <w:r>
        <w:rPr>
          <w:rFonts w:hint="eastAsia"/>
          <w:spacing w:val="8"/>
          <w:sz w:val="28"/>
          <w:szCs w:val="28"/>
          <w:lang w:eastAsia="zh-CN"/>
        </w:rPr>
        <w:t>永久基本农田和生态保护红线，符合土地征收成片开发调整</w:t>
      </w:r>
      <w:r>
        <w:rPr>
          <w:rFonts w:hint="eastAsia"/>
          <w:spacing w:val="-4"/>
          <w:sz w:val="28"/>
          <w:szCs w:val="28"/>
          <w:lang w:eastAsia="zh-CN"/>
        </w:rPr>
        <w:t>的标准。</w:t>
      </w:r>
    </w:p>
    <w:p>
      <w:pPr>
        <w:pStyle w:val="2"/>
        <w:spacing w:line="360" w:lineRule="auto"/>
        <w:ind w:firstLine="592" w:firstLineChars="200"/>
        <w:jc w:val="both"/>
        <w:rPr>
          <w:sz w:val="28"/>
          <w:szCs w:val="28"/>
          <w:lang w:eastAsia="zh-CN"/>
        </w:rPr>
      </w:pPr>
      <w:r>
        <w:rPr>
          <w:rFonts w:hint="eastAsia"/>
          <w:spacing w:val="8"/>
          <w:sz w:val="28"/>
          <w:szCs w:val="28"/>
          <w:lang w:eastAsia="zh-CN"/>
        </w:rPr>
        <w:t>根据《广东省自然资源厅关于规范已批土地征收成片开发方案调整工作的通知》（粤自然资函〔2023〕210号）的规定，确因国民经济和社会发展年度计划、国土空间规划调整或者其他不可抗力等因素，导致原批准的土地征收成片开发方案需要调整的，由各地级以上市人民政府、广州开发区（广州高新区）管委会依据省政府委托进行调整审批。本次调整符合土地征收成片开发相关政策。</w:t>
      </w:r>
    </w:p>
    <w:p>
      <w:pPr>
        <w:pStyle w:val="2"/>
        <w:spacing w:line="360" w:lineRule="auto"/>
        <w:ind w:firstLine="648" w:firstLineChars="200"/>
        <w:jc w:val="both"/>
        <w:rPr>
          <w:sz w:val="28"/>
          <w:szCs w:val="28"/>
          <w:lang w:eastAsia="zh-CN"/>
        </w:rPr>
      </w:pPr>
      <w:r>
        <w:rPr>
          <w:rFonts w:hint="eastAsia"/>
          <w:spacing w:val="22"/>
          <w:sz w:val="28"/>
          <w:szCs w:val="28"/>
          <w:lang w:eastAsia="zh-CN"/>
        </w:rPr>
        <w:t>本次土地征收成片开发调整方案符合国民经济和社会</w:t>
      </w:r>
      <w:r>
        <w:rPr>
          <w:rFonts w:hint="eastAsia"/>
          <w:spacing w:val="8"/>
          <w:sz w:val="28"/>
          <w:szCs w:val="28"/>
          <w:lang w:eastAsia="zh-CN"/>
        </w:rPr>
        <w:t>发展规划、国土空间总体规划、城乡规划和专项规划，做到了保护耕地、节约集约用地、保护生态环境，能够促进榕城区</w:t>
      </w:r>
      <w:r>
        <w:rPr>
          <w:rFonts w:hint="eastAsia"/>
          <w:spacing w:val="6"/>
          <w:sz w:val="28"/>
          <w:szCs w:val="28"/>
          <w:lang w:eastAsia="zh-CN"/>
        </w:rPr>
        <w:t>经济社会可持续发展。</w:t>
      </w:r>
    </w:p>
    <w:p>
      <w:pPr>
        <w:spacing w:line="360" w:lineRule="auto"/>
        <w:rPr>
          <w:rFonts w:ascii="仿宋" w:hAnsi="仿宋" w:eastAsia="仿宋" w:cs="仿宋"/>
          <w:sz w:val="28"/>
          <w:szCs w:val="28"/>
          <w:lang w:eastAsia="zh-CN"/>
        </w:rPr>
      </w:pPr>
      <w:r>
        <w:rPr>
          <w:rFonts w:hint="eastAsia" w:ascii="仿宋" w:hAnsi="仿宋" w:eastAsia="仿宋" w:cs="仿宋"/>
          <w:spacing w:val="9"/>
          <w:position w:val="18"/>
          <w:sz w:val="28"/>
          <w:szCs w:val="28"/>
          <w:lang w:eastAsia="zh-CN"/>
          <w14:textOutline w14:w="5791" w14:cap="sq" w14:cmpd="sng" w14:algn="ctr">
            <w14:solidFill>
              <w14:srgbClr w14:val="000000"/>
            </w14:solidFill>
            <w14:prstDash w14:val="solid"/>
            <w14:bevel/>
          </w14:textOutline>
        </w:rPr>
        <w:t>四、调整后土地用途与公益性用地情况</w:t>
      </w:r>
    </w:p>
    <w:p>
      <w:pPr>
        <w:pStyle w:val="2"/>
        <w:spacing w:line="360" w:lineRule="auto"/>
        <w:ind w:firstLine="592" w:firstLineChars="200"/>
        <w:rPr>
          <w:sz w:val="28"/>
          <w:szCs w:val="28"/>
          <w:lang w:eastAsia="zh-CN"/>
        </w:rPr>
      </w:pPr>
      <w:r>
        <w:rPr>
          <w:rFonts w:hint="eastAsia"/>
          <w:spacing w:val="8"/>
          <w:sz w:val="28"/>
          <w:szCs w:val="28"/>
          <w:lang w:eastAsia="zh-CN"/>
          <w14:textOutline w14:w="5791" w14:cap="sq" w14:cmpd="sng" w14:algn="ctr">
            <w14:solidFill>
              <w14:srgbClr w14:val="000000"/>
            </w14:solidFill>
            <w14:prstDash w14:val="solid"/>
            <w14:bevel/>
          </w14:textOutline>
        </w:rPr>
        <w:t>（一）调整后土地用途</w:t>
      </w:r>
    </w:p>
    <w:p>
      <w:pPr>
        <w:pStyle w:val="2"/>
        <w:spacing w:line="360" w:lineRule="auto"/>
        <w:ind w:firstLine="588" w:firstLineChars="200"/>
        <w:rPr>
          <w:sz w:val="28"/>
          <w:szCs w:val="28"/>
          <w:lang w:eastAsia="zh-CN"/>
        </w:rPr>
      </w:pPr>
      <w:r>
        <w:rPr>
          <w:rFonts w:hint="eastAsia"/>
          <w:spacing w:val="7"/>
          <w:sz w:val="28"/>
          <w:szCs w:val="28"/>
          <w:lang w:eastAsia="zh-CN"/>
        </w:rPr>
        <w:t>调整的片区各土地用途如下：</w:t>
      </w:r>
    </w:p>
    <w:p>
      <w:pPr>
        <w:pStyle w:val="2"/>
        <w:spacing w:line="360" w:lineRule="auto"/>
        <w:ind w:firstLine="620" w:firstLineChars="200"/>
        <w:rPr>
          <w:spacing w:val="15"/>
          <w:position w:val="17"/>
          <w:sz w:val="28"/>
          <w:szCs w:val="28"/>
          <w:lang w:eastAsia="zh-CN"/>
        </w:rPr>
      </w:pPr>
      <w:r>
        <w:rPr>
          <w:rFonts w:hint="eastAsia"/>
          <w:spacing w:val="15"/>
          <w:position w:val="17"/>
          <w:sz w:val="28"/>
          <w:szCs w:val="28"/>
          <w:lang w:eastAsia="zh-CN"/>
        </w:rPr>
        <w:t>榕城区登岗光明片区主要开发用途分别为物流仓储用地、城镇道路用地、公园绿地、防护绿地、商业服务业用地、农村宅基地等。</w:t>
      </w:r>
    </w:p>
    <w:p>
      <w:pPr>
        <w:pStyle w:val="2"/>
        <w:spacing w:line="360" w:lineRule="auto"/>
        <w:ind w:firstLine="596" w:firstLineChars="200"/>
        <w:rPr>
          <w:sz w:val="28"/>
          <w:szCs w:val="28"/>
          <w:lang w:eastAsia="zh-CN"/>
        </w:rPr>
      </w:pPr>
      <w:r>
        <w:rPr>
          <w:rFonts w:hint="eastAsia"/>
          <w:spacing w:val="9"/>
          <w:sz w:val="28"/>
          <w:szCs w:val="28"/>
          <w:lang w:eastAsia="zh-CN"/>
          <w14:textOutline w14:w="5791" w14:cap="sq" w14:cmpd="sng" w14:algn="ctr">
            <w14:solidFill>
              <w14:srgbClr w14:val="000000"/>
            </w14:solidFill>
            <w14:prstDash w14:val="solid"/>
            <w14:bevel/>
          </w14:textOutline>
        </w:rPr>
        <w:t>（二）调整后公益性用地情况</w:t>
      </w:r>
    </w:p>
    <w:p>
      <w:pPr>
        <w:pStyle w:val="2"/>
        <w:spacing w:line="360" w:lineRule="auto"/>
        <w:ind w:firstLine="604" w:firstLineChars="200"/>
        <w:rPr>
          <w:sz w:val="28"/>
          <w:szCs w:val="28"/>
          <w:lang w:eastAsia="zh-CN"/>
        </w:rPr>
      </w:pPr>
      <w:r>
        <w:rPr>
          <w:rFonts w:hint="eastAsia"/>
          <w:spacing w:val="11"/>
          <w:sz w:val="28"/>
          <w:szCs w:val="28"/>
          <w:lang w:eastAsia="zh-CN"/>
        </w:rPr>
        <w:t>本次土地征收成片开发调整后方案总面积为113.1427</w:t>
      </w:r>
      <w:r>
        <w:rPr>
          <w:rFonts w:hint="eastAsia"/>
          <w:spacing w:val="2"/>
          <w:sz w:val="28"/>
          <w:szCs w:val="28"/>
          <w:lang w:eastAsia="zh-CN"/>
        </w:rPr>
        <w:t>公顷（其中调整地块成片开发范围面积8.3531公顷</w:t>
      </w:r>
      <w:r>
        <w:rPr>
          <w:rFonts w:hint="eastAsia"/>
          <w:spacing w:val="6"/>
          <w:sz w:val="28"/>
          <w:szCs w:val="28"/>
          <w:lang w:eastAsia="zh-CN"/>
        </w:rPr>
        <w:t>），</w:t>
      </w:r>
      <w:r>
        <w:rPr>
          <w:rFonts w:hint="eastAsia"/>
          <w:spacing w:val="2"/>
          <w:sz w:val="28"/>
          <w:szCs w:val="28"/>
          <w:lang w:eastAsia="zh-CN"/>
        </w:rPr>
        <w:t>总</w:t>
      </w:r>
      <w:r>
        <w:rPr>
          <w:rFonts w:hint="eastAsia"/>
          <w:spacing w:val="3"/>
          <w:sz w:val="28"/>
          <w:szCs w:val="28"/>
          <w:lang w:eastAsia="zh-CN"/>
        </w:rPr>
        <w:t>公益性用地面积50.7799公顷（其中调整地块公益性用地面</w:t>
      </w:r>
      <w:r>
        <w:rPr>
          <w:rFonts w:hint="eastAsia"/>
          <w:spacing w:val="2"/>
          <w:sz w:val="28"/>
          <w:szCs w:val="28"/>
          <w:lang w:eastAsia="zh-CN"/>
        </w:rPr>
        <w:t>积3.5282公顷</w:t>
      </w:r>
      <w:r>
        <w:rPr>
          <w:rFonts w:hint="eastAsia"/>
          <w:spacing w:val="36"/>
          <w:sz w:val="28"/>
          <w:szCs w:val="28"/>
          <w:lang w:eastAsia="zh-CN"/>
        </w:rPr>
        <w:t>），</w:t>
      </w:r>
      <w:r>
        <w:rPr>
          <w:rFonts w:hint="eastAsia"/>
          <w:spacing w:val="2"/>
          <w:sz w:val="28"/>
          <w:szCs w:val="28"/>
          <w:lang w:eastAsia="zh-CN"/>
        </w:rPr>
        <w:t>总公益性用地占比44.88%。</w:t>
      </w:r>
    </w:p>
    <w:p>
      <w:pPr>
        <w:pStyle w:val="2"/>
        <w:spacing w:line="360" w:lineRule="auto"/>
        <w:ind w:firstLine="592" w:firstLineChars="200"/>
        <w:rPr>
          <w:sz w:val="28"/>
          <w:szCs w:val="28"/>
          <w:lang w:eastAsia="zh-CN"/>
        </w:rPr>
      </w:pPr>
      <w:r>
        <w:rPr>
          <w:rFonts w:hint="eastAsia"/>
          <w:spacing w:val="8"/>
          <w:sz w:val="28"/>
          <w:szCs w:val="28"/>
          <w:lang w:eastAsia="zh-CN"/>
        </w:rPr>
        <w:t>其中，涉及调整的片区公益性用地情况如下：</w:t>
      </w:r>
    </w:p>
    <w:p>
      <w:pPr>
        <w:pStyle w:val="2"/>
        <w:spacing w:line="360" w:lineRule="auto"/>
        <w:ind w:firstLine="580" w:firstLineChars="200"/>
        <w:rPr>
          <w:sz w:val="28"/>
          <w:szCs w:val="28"/>
          <w:lang w:eastAsia="zh-CN"/>
        </w:rPr>
      </w:pPr>
      <w:r>
        <w:rPr>
          <w:rFonts w:hint="eastAsia"/>
          <w:spacing w:val="5"/>
          <w:sz w:val="28"/>
          <w:szCs w:val="28"/>
          <w:lang w:eastAsia="zh-CN"/>
        </w:rPr>
        <w:t>榕城区登岗光明片区城镇道路用地、公园绿地、防护绿地等</w:t>
      </w:r>
      <w:r>
        <w:rPr>
          <w:rFonts w:hint="eastAsia"/>
          <w:spacing w:val="14"/>
          <w:sz w:val="28"/>
          <w:szCs w:val="28"/>
          <w:lang w:eastAsia="zh-CN"/>
        </w:rPr>
        <w:t>公益性用地面积3.5282公顷，公益性用地</w:t>
      </w:r>
      <w:r>
        <w:rPr>
          <w:rFonts w:hint="eastAsia"/>
          <w:spacing w:val="13"/>
          <w:sz w:val="28"/>
          <w:szCs w:val="28"/>
          <w:lang w:eastAsia="zh-CN"/>
        </w:rPr>
        <w:t>比例为</w:t>
      </w:r>
      <w:r>
        <w:rPr>
          <w:rFonts w:hint="eastAsia"/>
          <w:spacing w:val="6"/>
          <w:sz w:val="28"/>
          <w:szCs w:val="28"/>
          <w:lang w:eastAsia="zh-CN"/>
        </w:rPr>
        <w:t>42.24%，主要为道路与交通设施用地，符合</w:t>
      </w:r>
      <w:r>
        <w:rPr>
          <w:rFonts w:hint="eastAsia"/>
          <w:spacing w:val="5"/>
          <w:sz w:val="28"/>
          <w:szCs w:val="28"/>
          <w:lang w:eastAsia="zh-CN"/>
        </w:rPr>
        <w:t>基础设施、公共</w:t>
      </w:r>
      <w:r>
        <w:rPr>
          <w:rFonts w:hint="eastAsia"/>
          <w:spacing w:val="8"/>
          <w:sz w:val="28"/>
          <w:szCs w:val="28"/>
          <w:lang w:eastAsia="zh-CN"/>
        </w:rPr>
        <w:t>服务设施以及其他公益性用地比例不低于40%的要求。</w:t>
      </w:r>
    </w:p>
    <w:p>
      <w:pPr>
        <w:spacing w:line="360" w:lineRule="auto"/>
        <w:outlineLvl w:val="0"/>
        <w:rPr>
          <w:rFonts w:ascii="仿宋" w:hAnsi="仿宋" w:eastAsia="仿宋" w:cs="仿宋"/>
          <w:sz w:val="28"/>
          <w:szCs w:val="28"/>
          <w:lang w:eastAsia="zh-CN"/>
        </w:rPr>
      </w:pPr>
      <w:r>
        <w:rPr>
          <w:rFonts w:hint="eastAsia" w:ascii="仿宋" w:hAnsi="仿宋" w:eastAsia="仿宋" w:cs="仿宋"/>
          <w:spacing w:val="7"/>
          <w:sz w:val="28"/>
          <w:szCs w:val="28"/>
          <w:lang w:eastAsia="zh-CN"/>
          <w14:textOutline w14:w="5791" w14:cap="sq" w14:cmpd="sng" w14:algn="ctr">
            <w14:solidFill>
              <w14:srgbClr w14:val="000000"/>
            </w14:solidFill>
            <w14:prstDash w14:val="solid"/>
            <w14:bevel/>
          </w14:textOutline>
        </w:rPr>
        <w:t>五、调整后实施计划</w:t>
      </w:r>
    </w:p>
    <w:p>
      <w:pPr>
        <w:pStyle w:val="2"/>
        <w:spacing w:line="360" w:lineRule="auto"/>
        <w:ind w:firstLine="596" w:firstLineChars="200"/>
        <w:rPr>
          <w:sz w:val="28"/>
          <w:szCs w:val="28"/>
          <w:lang w:eastAsia="zh-CN"/>
        </w:rPr>
      </w:pPr>
      <w:r>
        <w:rPr>
          <w:rFonts w:hint="eastAsia"/>
          <w:spacing w:val="9"/>
          <w:sz w:val="28"/>
          <w:szCs w:val="28"/>
          <w:lang w:eastAsia="zh-CN"/>
        </w:rPr>
        <w:t>本方案拟建的项目用地开发时序为2年（即20</w:t>
      </w:r>
      <w:r>
        <w:rPr>
          <w:spacing w:val="9"/>
          <w:sz w:val="28"/>
          <w:szCs w:val="28"/>
          <w:lang w:eastAsia="zh-CN"/>
        </w:rPr>
        <w:t>23</w:t>
      </w:r>
      <w:r>
        <w:rPr>
          <w:rFonts w:hint="eastAsia"/>
          <w:spacing w:val="9"/>
          <w:sz w:val="28"/>
          <w:szCs w:val="28"/>
          <w:lang w:eastAsia="zh-CN"/>
        </w:rPr>
        <w:t>年至</w:t>
      </w:r>
      <w:r>
        <w:rPr>
          <w:rFonts w:hint="eastAsia"/>
          <w:spacing w:val="7"/>
          <w:sz w:val="28"/>
          <w:szCs w:val="28"/>
          <w:lang w:eastAsia="zh-CN"/>
        </w:rPr>
        <w:t>20</w:t>
      </w:r>
      <w:r>
        <w:rPr>
          <w:spacing w:val="7"/>
          <w:sz w:val="28"/>
          <w:szCs w:val="28"/>
          <w:lang w:eastAsia="zh-CN"/>
        </w:rPr>
        <w:t>24</w:t>
      </w:r>
      <w:r>
        <w:rPr>
          <w:rFonts w:hint="eastAsia"/>
          <w:spacing w:val="7"/>
          <w:sz w:val="28"/>
          <w:szCs w:val="28"/>
          <w:lang w:eastAsia="zh-CN"/>
        </w:rPr>
        <w:t>年</w:t>
      </w:r>
      <w:r>
        <w:rPr>
          <w:rFonts w:hint="eastAsia"/>
          <w:spacing w:val="5"/>
          <w:sz w:val="28"/>
          <w:szCs w:val="28"/>
          <w:lang w:eastAsia="zh-CN"/>
        </w:rPr>
        <w:t>），</w:t>
      </w:r>
      <w:r>
        <w:rPr>
          <w:rFonts w:hint="eastAsia"/>
          <w:spacing w:val="7"/>
          <w:sz w:val="28"/>
          <w:szCs w:val="28"/>
          <w:lang w:eastAsia="zh-CN"/>
        </w:rPr>
        <w:t>调整后项目拟征地总面积共计79.6672公顷，</w:t>
      </w:r>
      <w:r>
        <w:rPr>
          <w:rFonts w:hint="eastAsia"/>
          <w:spacing w:val="3"/>
          <w:sz w:val="28"/>
          <w:szCs w:val="28"/>
          <w:lang w:eastAsia="zh-CN"/>
        </w:rPr>
        <w:t>其中，涉及调整地块拟征地面积为7.7446公顷，</w:t>
      </w:r>
      <w:r>
        <w:rPr>
          <w:rFonts w:hint="eastAsia"/>
          <w:spacing w:val="2"/>
          <w:sz w:val="28"/>
          <w:szCs w:val="28"/>
          <w:lang w:eastAsia="zh-CN"/>
        </w:rPr>
        <w:t>调整片区</w:t>
      </w:r>
      <w:r>
        <w:rPr>
          <w:rFonts w:hint="eastAsia"/>
          <w:spacing w:val="5"/>
          <w:sz w:val="28"/>
          <w:szCs w:val="28"/>
          <w:lang w:eastAsia="zh-CN"/>
        </w:rPr>
        <w:t>具体情况详见下表。</w:t>
      </w:r>
    </w:p>
    <w:p>
      <w:pPr>
        <w:pStyle w:val="2"/>
        <w:spacing w:line="360" w:lineRule="auto"/>
        <w:jc w:val="center"/>
        <w:rPr>
          <w:spacing w:val="-1"/>
          <w:sz w:val="28"/>
          <w:szCs w:val="28"/>
          <w:lang w:eastAsia="zh-CN"/>
          <w14:textOutline w14:w="5105" w14:cap="sq" w14:cmpd="sng" w14:algn="ctr">
            <w14:solidFill>
              <w14:srgbClr w14:val="000000"/>
            </w14:solidFill>
            <w14:prstDash w14:val="solid"/>
            <w14:bevel/>
          </w14:textOutline>
        </w:rPr>
      </w:pPr>
      <w:r>
        <w:rPr>
          <w:rFonts w:hint="eastAsia"/>
          <w:spacing w:val="-1"/>
          <w:sz w:val="28"/>
          <w:szCs w:val="28"/>
          <w:lang w:eastAsia="zh-CN"/>
          <w14:textOutline w14:w="5105" w14:cap="sq" w14:cmpd="sng" w14:algn="ctr">
            <w14:solidFill>
              <w14:srgbClr w14:val="000000"/>
            </w14:solidFill>
            <w14:prstDash w14:val="solid"/>
            <w14:bevel/>
          </w14:textOutline>
        </w:rPr>
        <w:t>表</w:t>
      </w:r>
      <w:r>
        <w:rPr>
          <w:rFonts w:hint="eastAsia"/>
          <w:b/>
          <w:bCs/>
          <w:spacing w:val="-1"/>
          <w:sz w:val="28"/>
          <w:szCs w:val="28"/>
          <w:lang w:eastAsia="zh-CN"/>
        </w:rPr>
        <w:t>5-1</w:t>
      </w:r>
      <w:r>
        <w:rPr>
          <w:rFonts w:hint="eastAsia"/>
          <w:spacing w:val="-1"/>
          <w:sz w:val="28"/>
          <w:szCs w:val="28"/>
          <w:lang w:eastAsia="zh-CN"/>
          <w14:textOutline w14:w="5105" w14:cap="sq" w14:cmpd="sng" w14:algn="ctr">
            <w14:solidFill>
              <w14:srgbClr w14:val="000000"/>
            </w14:solidFill>
            <w14:prstDash w14:val="solid"/>
            <w14:bevel/>
          </w14:textOutline>
        </w:rPr>
        <w:t>调整片区土地征收成片开发项目实施计划一览表</w:t>
      </w:r>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508"/>
        <w:gridCol w:w="1688"/>
        <w:gridCol w:w="1544"/>
        <w:gridCol w:w="142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38" w:type="pct"/>
            <w:vAlign w:val="center"/>
          </w:tcPr>
          <w:p>
            <w:pPr>
              <w:pStyle w:val="2"/>
              <w:widowControl/>
              <w:spacing w:line="360" w:lineRule="auto"/>
              <w:jc w:val="center"/>
              <w:rPr>
                <w:spacing w:val="-1"/>
                <w:sz w:val="28"/>
                <w:szCs w:val="28"/>
                <w14:textOutline w14:w="5105" w14:cap="sq" w14:cmpd="sng" w14:algn="ctr">
                  <w14:solidFill>
                    <w14:srgbClr w14:val="000000"/>
                  </w14:solidFill>
                  <w14:prstDash w14:val="solid"/>
                  <w14:bevel/>
                </w14:textOutline>
              </w:rPr>
            </w:pPr>
            <w:r>
              <w:rPr>
                <w:rFonts w:hint="eastAsia"/>
                <w:spacing w:val="7"/>
                <w:sz w:val="28"/>
                <w:szCs w:val="28"/>
                <w14:textOutline w14:w="5105" w14:cap="sq" w14:cmpd="sng" w14:algn="ctr">
                  <w14:solidFill>
                    <w14:srgbClr w14:val="000000"/>
                  </w14:solidFill>
                  <w14:prstDash w14:val="solid"/>
                  <w14:bevel/>
                </w14:textOutline>
              </w:rPr>
              <w:t>序号</w:t>
            </w:r>
          </w:p>
        </w:tc>
        <w:tc>
          <w:tcPr>
            <w:tcW w:w="886" w:type="pct"/>
            <w:vAlign w:val="center"/>
          </w:tcPr>
          <w:p>
            <w:pPr>
              <w:pStyle w:val="2"/>
              <w:widowControl/>
              <w:spacing w:line="360" w:lineRule="auto"/>
              <w:jc w:val="center"/>
              <w:rPr>
                <w:spacing w:val="-1"/>
                <w:sz w:val="28"/>
                <w:szCs w:val="28"/>
                <w14:textOutline w14:w="5105" w14:cap="sq" w14:cmpd="sng" w14:algn="ctr">
                  <w14:solidFill>
                    <w14:srgbClr w14:val="000000"/>
                  </w14:solidFill>
                  <w14:prstDash w14:val="solid"/>
                  <w14:bevel/>
                </w14:textOutline>
              </w:rPr>
            </w:pPr>
            <w:r>
              <w:rPr>
                <w:rFonts w:hint="eastAsia"/>
                <w:spacing w:val="-5"/>
                <w:sz w:val="28"/>
                <w:szCs w:val="28"/>
                <w14:textOutline w14:w="5105" w14:cap="sq" w14:cmpd="sng" w14:algn="ctr">
                  <w14:solidFill>
                    <w14:srgbClr w14:val="000000"/>
                  </w14:solidFill>
                  <w14:prstDash w14:val="solid"/>
                  <w14:bevel/>
                </w14:textOutline>
              </w:rPr>
              <w:t>成片开发</w:t>
            </w:r>
            <w:r>
              <w:rPr>
                <w:rFonts w:hint="eastAsia"/>
                <w:spacing w:val="-8"/>
                <w:sz w:val="28"/>
                <w:szCs w:val="28"/>
                <w14:textOutline w14:w="5105" w14:cap="sq" w14:cmpd="sng" w14:algn="ctr">
                  <w14:solidFill>
                    <w14:srgbClr w14:val="000000"/>
                  </w14:solidFill>
                  <w14:prstDash w14:val="solid"/>
                  <w14:bevel/>
                </w14:textOutline>
              </w:rPr>
              <w:t>范围名称</w:t>
            </w:r>
          </w:p>
        </w:tc>
        <w:tc>
          <w:tcPr>
            <w:tcW w:w="992" w:type="pct"/>
            <w:vAlign w:val="center"/>
          </w:tcPr>
          <w:p>
            <w:pPr>
              <w:pStyle w:val="2"/>
              <w:widowControl/>
              <w:spacing w:line="360" w:lineRule="auto"/>
              <w:jc w:val="center"/>
              <w:rPr>
                <w:spacing w:val="-4"/>
                <w:sz w:val="28"/>
                <w:szCs w:val="28"/>
                <w:lang w:eastAsia="zh-CN"/>
                <w14:textOutline w14:w="5105" w14:cap="sq" w14:cmpd="sng" w14:algn="ctr">
                  <w14:solidFill>
                    <w14:srgbClr w14:val="000000"/>
                  </w14:solidFill>
                  <w14:prstDash w14:val="solid"/>
                  <w14:bevel/>
                </w14:textOutline>
              </w:rPr>
            </w:pPr>
            <w:r>
              <w:rPr>
                <w:rFonts w:hint="eastAsia"/>
                <w:spacing w:val="-5"/>
                <w:sz w:val="28"/>
                <w:szCs w:val="28"/>
                <w:lang w:eastAsia="zh-CN"/>
                <w14:textOutline w14:w="5105" w14:cap="sq" w14:cmpd="sng" w14:algn="ctr">
                  <w14:solidFill>
                    <w14:srgbClr w14:val="000000"/>
                  </w14:solidFill>
                  <w14:prstDash w14:val="solid"/>
                  <w14:bevel/>
                </w14:textOutline>
              </w:rPr>
              <w:t>成片开发</w:t>
            </w:r>
            <w:r>
              <w:rPr>
                <w:rFonts w:hint="eastAsia"/>
                <w:spacing w:val="-4"/>
                <w:sz w:val="28"/>
                <w:szCs w:val="28"/>
                <w:lang w:eastAsia="zh-CN"/>
                <w14:textOutline w14:w="5105" w14:cap="sq" w14:cmpd="sng" w14:algn="ctr">
                  <w14:solidFill>
                    <w14:srgbClr w14:val="000000"/>
                  </w14:solidFill>
                  <w14:prstDash w14:val="solid"/>
                  <w14:bevel/>
                </w14:textOutline>
              </w:rPr>
              <w:t>范围面积</w:t>
            </w:r>
          </w:p>
          <w:p>
            <w:pPr>
              <w:pStyle w:val="2"/>
              <w:widowControl/>
              <w:spacing w:line="360" w:lineRule="auto"/>
              <w:jc w:val="center"/>
              <w:rPr>
                <w:spacing w:val="-1"/>
                <w:sz w:val="28"/>
                <w:szCs w:val="28"/>
                <w:lang w:eastAsia="zh-CN"/>
                <w14:textOutline w14:w="5105" w14:cap="sq" w14:cmpd="sng" w14:algn="ctr">
                  <w14:solidFill>
                    <w14:srgbClr w14:val="000000"/>
                  </w14:solidFill>
                  <w14:prstDash w14:val="solid"/>
                  <w14:bevel/>
                </w14:textOutline>
              </w:rPr>
            </w:pPr>
            <w:r>
              <w:rPr>
                <w:rFonts w:hint="eastAsia"/>
                <w:spacing w:val="-5"/>
                <w:sz w:val="28"/>
                <w:szCs w:val="28"/>
                <w:lang w:eastAsia="zh-CN"/>
                <w14:textOutline w14:w="5105" w14:cap="sq" w14:cmpd="sng" w14:algn="ctr">
                  <w14:solidFill>
                    <w14:srgbClr w14:val="000000"/>
                  </w14:solidFill>
                  <w14:prstDash w14:val="solid"/>
                  <w14:bevel/>
                </w14:textOutline>
              </w:rPr>
              <w:t>（公顷）</w:t>
            </w:r>
          </w:p>
        </w:tc>
        <w:tc>
          <w:tcPr>
            <w:tcW w:w="907" w:type="pct"/>
            <w:vAlign w:val="center"/>
          </w:tcPr>
          <w:p>
            <w:pPr>
              <w:pStyle w:val="2"/>
              <w:widowControl/>
              <w:spacing w:line="360" w:lineRule="auto"/>
              <w:jc w:val="center"/>
              <w:rPr>
                <w:spacing w:val="-1"/>
                <w:sz w:val="28"/>
                <w:szCs w:val="28"/>
                <w14:textOutline w14:w="5105" w14:cap="sq" w14:cmpd="sng" w14:algn="ctr">
                  <w14:solidFill>
                    <w14:srgbClr w14:val="000000"/>
                  </w14:solidFill>
                  <w14:prstDash w14:val="solid"/>
                  <w14:bevel/>
                </w14:textOutline>
              </w:rPr>
            </w:pPr>
            <w:r>
              <w:rPr>
                <w:rFonts w:hint="eastAsia"/>
                <w:spacing w:val="-3"/>
                <w:sz w:val="28"/>
                <w:szCs w:val="28"/>
                <w14:textOutline w14:w="5105" w14:cap="sq" w14:cmpd="sng" w14:algn="ctr">
                  <w14:solidFill>
                    <w14:srgbClr w14:val="000000"/>
                  </w14:solidFill>
                  <w14:prstDash w14:val="solid"/>
                  <w14:bevel/>
                </w14:textOutline>
              </w:rPr>
              <w:t>拟征收地块</w:t>
            </w:r>
            <w:r>
              <w:rPr>
                <w:rFonts w:hint="eastAsia"/>
                <w:spacing w:val="-9"/>
                <w:sz w:val="28"/>
                <w:szCs w:val="28"/>
                <w14:textOutline w14:w="5105" w14:cap="sq" w14:cmpd="sng" w14:algn="ctr">
                  <w14:solidFill>
                    <w14:srgbClr w14:val="000000"/>
                  </w14:solidFill>
                  <w14:prstDash w14:val="solid"/>
                  <w14:bevel/>
                </w14:textOutline>
              </w:rPr>
              <w:t>名称</w:t>
            </w:r>
          </w:p>
        </w:tc>
        <w:tc>
          <w:tcPr>
            <w:tcW w:w="839" w:type="pct"/>
            <w:vAlign w:val="center"/>
          </w:tcPr>
          <w:p>
            <w:pPr>
              <w:pStyle w:val="2"/>
              <w:widowControl/>
              <w:spacing w:line="360" w:lineRule="auto"/>
              <w:jc w:val="center"/>
              <w:rPr>
                <w:spacing w:val="-1"/>
                <w:sz w:val="28"/>
                <w:szCs w:val="28"/>
                <w:lang w:eastAsia="zh-CN"/>
                <w14:textOutline w14:w="5105" w14:cap="sq" w14:cmpd="sng" w14:algn="ctr">
                  <w14:solidFill>
                    <w14:srgbClr w14:val="000000"/>
                  </w14:solidFill>
                  <w14:prstDash w14:val="solid"/>
                  <w14:bevel/>
                </w14:textOutline>
              </w:rPr>
            </w:pPr>
            <w:r>
              <w:rPr>
                <w:rFonts w:hint="eastAsia"/>
                <w:spacing w:val="-1"/>
                <w:sz w:val="28"/>
                <w:szCs w:val="28"/>
                <w:lang w:eastAsia="zh-CN"/>
                <w14:textOutline w14:w="5105" w14:cap="sq" w14:cmpd="sng" w14:algn="ctr">
                  <w14:solidFill>
                    <w14:srgbClr w14:val="000000"/>
                  </w14:solidFill>
                  <w14:prstDash w14:val="solid"/>
                  <w14:bevel/>
                </w14:textOutline>
              </w:rPr>
              <w:t>拟征收地</w:t>
            </w:r>
          </w:p>
          <w:p>
            <w:pPr>
              <w:pStyle w:val="2"/>
              <w:widowControl/>
              <w:spacing w:line="360" w:lineRule="auto"/>
              <w:jc w:val="center"/>
              <w:rPr>
                <w:spacing w:val="-1"/>
                <w:sz w:val="28"/>
                <w:szCs w:val="28"/>
                <w:lang w:eastAsia="zh-CN"/>
                <w14:textOutline w14:w="5105" w14:cap="sq" w14:cmpd="sng" w14:algn="ctr">
                  <w14:solidFill>
                    <w14:srgbClr w14:val="000000"/>
                  </w14:solidFill>
                  <w14:prstDash w14:val="solid"/>
                  <w14:bevel/>
                </w14:textOutline>
              </w:rPr>
            </w:pPr>
            <w:r>
              <w:rPr>
                <w:rFonts w:hint="eastAsia"/>
                <w:spacing w:val="-1"/>
                <w:sz w:val="28"/>
                <w:szCs w:val="28"/>
                <w:lang w:eastAsia="zh-CN"/>
                <w14:textOutline w14:w="5105" w14:cap="sq" w14:cmpd="sng" w14:algn="ctr">
                  <w14:solidFill>
                    <w14:srgbClr w14:val="000000"/>
                  </w14:solidFill>
                  <w14:prstDash w14:val="solid"/>
                  <w14:bevel/>
                </w14:textOutline>
              </w:rPr>
              <w:t>块面积</w:t>
            </w:r>
          </w:p>
          <w:p>
            <w:pPr>
              <w:pStyle w:val="2"/>
              <w:widowControl/>
              <w:spacing w:line="360" w:lineRule="auto"/>
              <w:jc w:val="center"/>
              <w:rPr>
                <w:spacing w:val="-1"/>
                <w:sz w:val="28"/>
                <w:szCs w:val="28"/>
                <w:lang w:eastAsia="zh-CN"/>
                <w14:textOutline w14:w="5105" w14:cap="sq" w14:cmpd="sng" w14:algn="ctr">
                  <w14:solidFill>
                    <w14:srgbClr w14:val="000000"/>
                  </w14:solidFill>
                  <w14:prstDash w14:val="solid"/>
                  <w14:bevel/>
                </w14:textOutline>
              </w:rPr>
            </w:pPr>
            <w:r>
              <w:rPr>
                <w:rFonts w:hint="eastAsia"/>
                <w:spacing w:val="-1"/>
                <w:sz w:val="28"/>
                <w:szCs w:val="28"/>
                <w:lang w:eastAsia="zh-CN"/>
                <w14:textOutline w14:w="5105" w14:cap="sq" w14:cmpd="sng" w14:algn="ctr">
                  <w14:solidFill>
                    <w14:srgbClr w14:val="000000"/>
                  </w14:solidFill>
                  <w14:prstDash w14:val="solid"/>
                  <w14:bevel/>
                </w14:textOutline>
              </w:rPr>
              <w:t>（公顷）</w:t>
            </w:r>
          </w:p>
        </w:tc>
        <w:tc>
          <w:tcPr>
            <w:tcW w:w="836" w:type="pct"/>
            <w:vAlign w:val="center"/>
          </w:tcPr>
          <w:p>
            <w:pPr>
              <w:pStyle w:val="2"/>
              <w:widowControl/>
              <w:spacing w:line="360" w:lineRule="auto"/>
              <w:jc w:val="center"/>
              <w:rPr>
                <w:spacing w:val="-1"/>
                <w:sz w:val="28"/>
                <w:szCs w:val="28"/>
                <w14:textOutline w14:w="5105" w14:cap="sq" w14:cmpd="sng" w14:algn="ctr">
                  <w14:solidFill>
                    <w14:srgbClr w14:val="000000"/>
                  </w14:solidFill>
                  <w14:prstDash w14:val="solid"/>
                  <w14:bevel/>
                </w14:textOutline>
              </w:rPr>
            </w:pPr>
            <w:r>
              <w:rPr>
                <w:rFonts w:hint="eastAsia"/>
                <w:spacing w:val="-1"/>
                <w:sz w:val="28"/>
                <w:szCs w:val="28"/>
                <w14:textOutline w14:w="5105" w14:cap="sq" w14:cmpd="sng" w14:algn="ctr">
                  <w14:solidFill>
                    <w14:srgbClr w14:val="000000"/>
                  </w14:solidFill>
                  <w14:prstDash w14:val="solid"/>
                  <w14:bevel/>
                </w14:textOutline>
              </w:rPr>
              <w:t>征地比例（%）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38" w:type="pct"/>
            <w:vAlign w:val="center"/>
          </w:tcPr>
          <w:p>
            <w:pPr>
              <w:widowControl/>
              <w:spacing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886" w:type="pct"/>
            <w:vAlign w:val="center"/>
          </w:tcPr>
          <w:p>
            <w:pPr>
              <w:widowControl/>
              <w:spacing w:line="360" w:lineRule="auto"/>
              <w:jc w:val="center"/>
              <w:rPr>
                <w:rFonts w:ascii="仿宋" w:hAnsi="仿宋" w:eastAsia="仿宋" w:cs="仿宋"/>
                <w:sz w:val="28"/>
                <w:szCs w:val="28"/>
              </w:rPr>
            </w:pPr>
            <w:r>
              <w:rPr>
                <w:rFonts w:hint="eastAsia" w:ascii="仿宋" w:hAnsi="仿宋" w:eastAsia="仿宋" w:cs="仿宋"/>
                <w:sz w:val="28"/>
                <w:szCs w:val="28"/>
              </w:rPr>
              <w:t>登岗光明片区</w:t>
            </w:r>
          </w:p>
        </w:tc>
        <w:tc>
          <w:tcPr>
            <w:tcW w:w="992" w:type="pct"/>
            <w:vAlign w:val="center"/>
          </w:tcPr>
          <w:p>
            <w:pPr>
              <w:widowControl/>
              <w:spacing w:line="360" w:lineRule="auto"/>
              <w:jc w:val="center"/>
              <w:rPr>
                <w:rFonts w:ascii="仿宋" w:hAnsi="仿宋" w:eastAsia="仿宋" w:cs="仿宋"/>
                <w:sz w:val="28"/>
                <w:szCs w:val="28"/>
              </w:rPr>
            </w:pPr>
            <w:r>
              <w:rPr>
                <w:rFonts w:hint="eastAsia" w:ascii="仿宋" w:hAnsi="仿宋" w:eastAsia="仿宋" w:cs="仿宋"/>
                <w:sz w:val="28"/>
                <w:szCs w:val="28"/>
              </w:rPr>
              <w:t>8.3531</w:t>
            </w:r>
          </w:p>
        </w:tc>
        <w:tc>
          <w:tcPr>
            <w:tcW w:w="907" w:type="pct"/>
            <w:vAlign w:val="center"/>
          </w:tcPr>
          <w:p>
            <w:pPr>
              <w:widowControl/>
              <w:spacing w:line="360" w:lineRule="auto"/>
              <w:jc w:val="center"/>
              <w:rPr>
                <w:rFonts w:ascii="仿宋" w:hAnsi="仿宋" w:eastAsia="仿宋" w:cs="仿宋"/>
                <w:sz w:val="28"/>
                <w:szCs w:val="28"/>
              </w:rPr>
            </w:pPr>
            <w:r>
              <w:rPr>
                <w:rFonts w:hint="eastAsia" w:ascii="仿宋" w:hAnsi="仿宋" w:eastAsia="仿宋" w:cs="仿宋"/>
                <w:sz w:val="28"/>
                <w:szCs w:val="28"/>
              </w:rPr>
              <w:t>光明物流仓储项目</w:t>
            </w:r>
          </w:p>
        </w:tc>
        <w:tc>
          <w:tcPr>
            <w:tcW w:w="839" w:type="pct"/>
            <w:vAlign w:val="center"/>
          </w:tcPr>
          <w:p>
            <w:pPr>
              <w:widowControl/>
              <w:spacing w:line="360" w:lineRule="auto"/>
              <w:jc w:val="center"/>
              <w:rPr>
                <w:rFonts w:ascii="仿宋" w:hAnsi="仿宋" w:eastAsia="仿宋" w:cs="仿宋"/>
                <w:sz w:val="28"/>
                <w:szCs w:val="28"/>
              </w:rPr>
            </w:pPr>
            <w:r>
              <w:rPr>
                <w:rFonts w:hint="eastAsia" w:ascii="仿宋" w:hAnsi="仿宋" w:eastAsia="仿宋" w:cs="仿宋"/>
                <w:sz w:val="28"/>
                <w:szCs w:val="28"/>
              </w:rPr>
              <w:t>7.7446</w:t>
            </w:r>
          </w:p>
        </w:tc>
        <w:tc>
          <w:tcPr>
            <w:tcW w:w="836" w:type="pct"/>
            <w:vAlign w:val="center"/>
          </w:tcPr>
          <w:p>
            <w:pPr>
              <w:widowControl/>
              <w:spacing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92.72</w:t>
            </w:r>
          </w:p>
        </w:tc>
      </w:tr>
    </w:tbl>
    <w:p>
      <w:pPr>
        <w:pStyle w:val="2"/>
        <w:spacing w:before="240" w:beforeLines="100" w:line="360" w:lineRule="auto"/>
        <w:rPr>
          <w:sz w:val="28"/>
          <w:szCs w:val="28"/>
        </w:rPr>
      </w:pPr>
      <w:r>
        <w:rPr>
          <w:rFonts w:hint="eastAsia"/>
          <w:spacing w:val="5"/>
          <w:sz w:val="28"/>
          <w:szCs w:val="28"/>
          <w14:textOutline w14:w="5791" w14:cap="sq" w14:cmpd="sng" w14:algn="ctr">
            <w14:solidFill>
              <w14:srgbClr w14:val="000000"/>
            </w14:solidFill>
            <w14:prstDash w14:val="solid"/>
            <w14:bevel/>
          </w14:textOutline>
        </w:rPr>
        <w:t>六、调整后效益评估</w:t>
      </w:r>
    </w:p>
    <w:p>
      <w:pPr>
        <w:pStyle w:val="2"/>
        <w:spacing w:line="360" w:lineRule="auto"/>
        <w:ind w:firstLine="592" w:firstLineChars="200"/>
        <w:rPr>
          <w:sz w:val="28"/>
          <w:szCs w:val="28"/>
          <w:lang w:eastAsia="zh-CN"/>
        </w:rPr>
      </w:pPr>
      <w:r>
        <w:rPr>
          <w:rFonts w:hint="eastAsia"/>
          <w:spacing w:val="8"/>
          <w:sz w:val="28"/>
          <w:szCs w:val="28"/>
          <w:lang w:eastAsia="zh-CN"/>
          <w14:textOutline w14:w="5791" w14:cap="sq" w14:cmpd="sng" w14:algn="ctr">
            <w14:solidFill>
              <w14:srgbClr w14:val="000000"/>
            </w14:solidFill>
            <w14:prstDash w14:val="solid"/>
            <w14:bevel/>
          </w14:textOutline>
        </w:rPr>
        <w:t>（一）土地利用效益评估</w:t>
      </w:r>
    </w:p>
    <w:p>
      <w:pPr>
        <w:pStyle w:val="2"/>
        <w:spacing w:line="360" w:lineRule="auto"/>
        <w:ind w:firstLine="592" w:firstLineChars="200"/>
        <w:jc w:val="both"/>
        <w:rPr>
          <w:sz w:val="28"/>
          <w:szCs w:val="28"/>
          <w:lang w:eastAsia="zh-CN"/>
        </w:rPr>
      </w:pPr>
      <w:r>
        <w:rPr>
          <w:rFonts w:hint="eastAsia"/>
          <w:spacing w:val="8"/>
          <w:sz w:val="28"/>
          <w:szCs w:val="28"/>
          <w:lang w:eastAsia="zh-CN"/>
        </w:rPr>
        <w:t>通过本次调整方案，可以合理安排用地规模、结构和布局，有效推进榕城区用地节约集约利用，避免用地浪费，提</w:t>
      </w:r>
      <w:r>
        <w:rPr>
          <w:rFonts w:hint="eastAsia"/>
          <w:spacing w:val="5"/>
          <w:sz w:val="28"/>
          <w:szCs w:val="28"/>
          <w:lang w:eastAsia="zh-CN"/>
        </w:rPr>
        <w:t>高现有土地使用效益。</w:t>
      </w:r>
    </w:p>
    <w:p>
      <w:pPr>
        <w:pStyle w:val="2"/>
        <w:spacing w:line="360" w:lineRule="auto"/>
        <w:ind w:firstLine="592" w:firstLineChars="200"/>
        <w:rPr>
          <w:sz w:val="28"/>
          <w:szCs w:val="28"/>
          <w:lang w:eastAsia="zh-CN"/>
        </w:rPr>
      </w:pPr>
      <w:r>
        <w:rPr>
          <w:rFonts w:hint="eastAsia"/>
          <w:spacing w:val="8"/>
          <w:sz w:val="28"/>
          <w:szCs w:val="28"/>
          <w:lang w:eastAsia="zh-CN"/>
          <w14:textOutline w14:w="5791" w14:cap="sq" w14:cmpd="sng" w14:algn="ctr">
            <w14:solidFill>
              <w14:srgbClr w14:val="000000"/>
            </w14:solidFill>
            <w14:prstDash w14:val="solid"/>
            <w14:bevel/>
          </w14:textOutline>
        </w:rPr>
        <w:t>（二）经济效益评估</w:t>
      </w:r>
    </w:p>
    <w:p>
      <w:pPr>
        <w:pStyle w:val="2"/>
        <w:spacing w:line="360" w:lineRule="auto"/>
        <w:ind w:firstLine="592" w:firstLineChars="200"/>
        <w:jc w:val="both"/>
        <w:rPr>
          <w:sz w:val="28"/>
          <w:szCs w:val="28"/>
          <w:lang w:eastAsia="zh-CN"/>
        </w:rPr>
      </w:pPr>
      <w:r>
        <w:rPr>
          <w:rFonts w:hint="eastAsia"/>
          <w:spacing w:val="8"/>
          <w:sz w:val="28"/>
          <w:szCs w:val="28"/>
          <w:lang w:eastAsia="zh-CN"/>
        </w:rPr>
        <w:t>本次调整方案以物流仓储用地及相关配套设施建设为主，通过成片开发产生集聚经济效应，有利</w:t>
      </w:r>
      <w:r>
        <w:rPr>
          <w:rFonts w:hint="eastAsia"/>
          <w:spacing w:val="6"/>
          <w:sz w:val="28"/>
          <w:szCs w:val="28"/>
          <w:lang w:eastAsia="zh-CN"/>
        </w:rPr>
        <w:t>于提升县域经济吸引力。</w:t>
      </w:r>
    </w:p>
    <w:p>
      <w:pPr>
        <w:pStyle w:val="2"/>
        <w:spacing w:line="360" w:lineRule="auto"/>
        <w:ind w:firstLine="600" w:firstLineChars="200"/>
        <w:rPr>
          <w:sz w:val="28"/>
          <w:szCs w:val="28"/>
          <w:lang w:eastAsia="zh-CN"/>
        </w:rPr>
      </w:pPr>
      <w:r>
        <w:rPr>
          <w:rFonts w:hint="eastAsia"/>
          <w:spacing w:val="10"/>
          <w:sz w:val="28"/>
          <w:szCs w:val="28"/>
          <w:lang w:eastAsia="zh-CN"/>
          <w14:textOutline w14:w="5791" w14:cap="sq" w14:cmpd="sng" w14:algn="ctr">
            <w14:solidFill>
              <w14:srgbClr w14:val="000000"/>
            </w14:solidFill>
            <w14:prstDash w14:val="solid"/>
            <w14:bevel/>
          </w14:textOutline>
        </w:rPr>
        <w:t>（三）社会效益评估</w:t>
      </w:r>
    </w:p>
    <w:p>
      <w:pPr>
        <w:pStyle w:val="2"/>
        <w:spacing w:line="360" w:lineRule="auto"/>
        <w:ind w:firstLine="648" w:firstLineChars="200"/>
        <w:jc w:val="both"/>
        <w:rPr>
          <w:sz w:val="28"/>
          <w:szCs w:val="28"/>
          <w:lang w:eastAsia="zh-CN"/>
        </w:rPr>
      </w:pPr>
      <w:r>
        <w:rPr>
          <w:rFonts w:hint="eastAsia"/>
          <w:spacing w:val="22"/>
          <w:sz w:val="28"/>
          <w:szCs w:val="28"/>
          <w:lang w:eastAsia="zh-CN"/>
        </w:rPr>
        <w:t>本次调整方案有利于推动片区内公共服务配套设施和</w:t>
      </w:r>
      <w:r>
        <w:rPr>
          <w:rFonts w:hint="eastAsia"/>
          <w:spacing w:val="8"/>
          <w:sz w:val="28"/>
          <w:szCs w:val="28"/>
          <w:lang w:eastAsia="zh-CN"/>
        </w:rPr>
        <w:t>交通基础设施的统筹建设，推动片区城镇化发展；有利于扩大就业；有利于城市总体形象的营造及空间规划的落实，符合国民经济和社会发展规划的要求；有助于打造高质量高标</w:t>
      </w:r>
      <w:r>
        <w:rPr>
          <w:rFonts w:hint="eastAsia"/>
          <w:spacing w:val="4"/>
          <w:sz w:val="28"/>
          <w:szCs w:val="28"/>
          <w:lang w:eastAsia="zh-CN"/>
        </w:rPr>
        <w:t>准的综合片区。</w:t>
      </w:r>
    </w:p>
    <w:p>
      <w:pPr>
        <w:pStyle w:val="2"/>
        <w:spacing w:line="360" w:lineRule="auto"/>
        <w:ind w:firstLine="600" w:firstLineChars="200"/>
        <w:rPr>
          <w:sz w:val="28"/>
          <w:szCs w:val="28"/>
          <w:lang w:eastAsia="zh-CN"/>
        </w:rPr>
      </w:pPr>
      <w:r>
        <w:rPr>
          <w:rFonts w:hint="eastAsia"/>
          <w:spacing w:val="10"/>
          <w:sz w:val="28"/>
          <w:szCs w:val="28"/>
          <w:lang w:eastAsia="zh-CN"/>
          <w14:textOutline w14:w="5791" w14:cap="sq" w14:cmpd="sng" w14:algn="ctr">
            <w14:solidFill>
              <w14:srgbClr w14:val="000000"/>
            </w14:solidFill>
            <w14:prstDash w14:val="solid"/>
            <w14:bevel/>
          </w14:textOutline>
        </w:rPr>
        <w:t>（四）生态效益评估</w:t>
      </w:r>
    </w:p>
    <w:p>
      <w:pPr>
        <w:pStyle w:val="2"/>
        <w:spacing w:line="360" w:lineRule="auto"/>
        <w:ind w:firstLine="592" w:firstLineChars="200"/>
        <w:jc w:val="both"/>
        <w:rPr>
          <w:sz w:val="28"/>
          <w:szCs w:val="28"/>
          <w:lang w:eastAsia="zh-CN"/>
        </w:rPr>
      </w:pPr>
      <w:r>
        <w:rPr>
          <w:rFonts w:hint="eastAsia"/>
          <w:spacing w:val="8"/>
          <w:sz w:val="28"/>
          <w:szCs w:val="28"/>
          <w:lang w:eastAsia="zh-CN"/>
        </w:rPr>
        <w:t>本次调整方案符合生态环境保护要求，土地征收成片开</w:t>
      </w:r>
      <w:r>
        <w:rPr>
          <w:rFonts w:hint="eastAsia"/>
          <w:spacing w:val="5"/>
          <w:sz w:val="28"/>
          <w:szCs w:val="28"/>
          <w:lang w:eastAsia="zh-CN"/>
        </w:rPr>
        <w:t>发范围不涉及永久基本农田、自然保护地、陆域生态保护红</w:t>
      </w:r>
      <w:r>
        <w:rPr>
          <w:rFonts w:hint="eastAsia"/>
          <w:spacing w:val="8"/>
          <w:sz w:val="28"/>
          <w:szCs w:val="28"/>
          <w:lang w:eastAsia="zh-CN"/>
        </w:rPr>
        <w:t>线、蓝线、绿线等生态底线管控要素。对提升保护榕城区生</w:t>
      </w:r>
      <w:r>
        <w:rPr>
          <w:rFonts w:hint="eastAsia"/>
          <w:spacing w:val="7"/>
          <w:sz w:val="28"/>
          <w:szCs w:val="28"/>
          <w:lang w:eastAsia="zh-CN"/>
        </w:rPr>
        <w:t>态环境、提升生态品质等方面具有积极作用。</w:t>
      </w:r>
    </w:p>
    <w:p>
      <w:pPr>
        <w:pStyle w:val="2"/>
        <w:spacing w:line="360" w:lineRule="auto"/>
        <w:outlineLvl w:val="0"/>
        <w:rPr>
          <w:sz w:val="28"/>
          <w:szCs w:val="28"/>
          <w:lang w:eastAsia="zh-CN"/>
        </w:rPr>
      </w:pPr>
      <w:r>
        <w:rPr>
          <w:rFonts w:hint="eastAsia"/>
          <w:spacing w:val="-4"/>
          <w:sz w:val="28"/>
          <w:szCs w:val="28"/>
          <w:lang w:eastAsia="zh-CN"/>
          <w14:textOutline w14:w="5791" w14:cap="sq" w14:cmpd="sng" w14:algn="ctr">
            <w14:solidFill>
              <w14:srgbClr w14:val="000000"/>
            </w14:solidFill>
            <w14:prstDash w14:val="solid"/>
            <w14:bevel/>
          </w14:textOutline>
        </w:rPr>
        <w:t>七、结论</w:t>
      </w:r>
    </w:p>
    <w:p>
      <w:pPr>
        <w:pStyle w:val="2"/>
        <w:spacing w:line="360" w:lineRule="auto"/>
        <w:ind w:firstLine="588" w:firstLineChars="200"/>
        <w:jc w:val="both"/>
        <w:rPr>
          <w:rFonts w:hint="eastAsia"/>
          <w:spacing w:val="7"/>
          <w:sz w:val="28"/>
          <w:szCs w:val="28"/>
          <w:lang w:eastAsia="zh-CN"/>
        </w:rPr>
      </w:pPr>
      <w:r>
        <w:rPr>
          <w:rFonts w:hint="eastAsia"/>
          <w:spacing w:val="7"/>
          <w:sz w:val="28"/>
          <w:szCs w:val="28"/>
          <w:lang w:eastAsia="zh-CN"/>
        </w:rPr>
        <w:t>综上所述，《揭阳市</w:t>
      </w:r>
      <w:r>
        <w:rPr>
          <w:rFonts w:hint="eastAsia"/>
          <w:spacing w:val="8"/>
          <w:sz w:val="28"/>
          <w:szCs w:val="28"/>
          <w:lang w:eastAsia="zh-CN"/>
        </w:rPr>
        <w:t>榕城区</w:t>
      </w:r>
      <w:r>
        <w:rPr>
          <w:rFonts w:hint="eastAsia"/>
          <w:spacing w:val="7"/>
          <w:sz w:val="28"/>
          <w:szCs w:val="28"/>
          <w:lang w:eastAsia="zh-CN"/>
        </w:rPr>
        <w:t>2022年度土地征收成片开发</w:t>
      </w:r>
      <w:r>
        <w:rPr>
          <w:rFonts w:hint="eastAsia"/>
          <w:spacing w:val="8"/>
          <w:sz w:val="28"/>
          <w:szCs w:val="28"/>
          <w:lang w:eastAsia="zh-CN"/>
        </w:rPr>
        <w:t>方案（调整）》符合《广东省自然资源厅印发关于规范土地征收成片开发工作的通知》（粤自然资发〔20</w:t>
      </w:r>
      <w:r>
        <w:rPr>
          <w:rFonts w:hint="eastAsia"/>
          <w:spacing w:val="7"/>
          <w:sz w:val="28"/>
          <w:szCs w:val="28"/>
          <w:lang w:eastAsia="zh-CN"/>
        </w:rPr>
        <w:t>21〕20号）和</w:t>
      </w:r>
      <w:r>
        <w:rPr>
          <w:rFonts w:hint="eastAsia"/>
          <w:spacing w:val="21"/>
          <w:sz w:val="28"/>
          <w:szCs w:val="28"/>
          <w:lang w:eastAsia="zh-CN"/>
        </w:rPr>
        <w:t>《广东省自然资源厅关于规范已批土地征收成片开发方案</w:t>
      </w:r>
      <w:r>
        <w:rPr>
          <w:rFonts w:hint="eastAsia"/>
          <w:spacing w:val="8"/>
          <w:sz w:val="28"/>
          <w:szCs w:val="28"/>
          <w:lang w:eastAsia="zh-CN"/>
        </w:rPr>
        <w:t>调整工作的通知》（粤自然资函〔2023〕</w:t>
      </w:r>
      <w:r>
        <w:rPr>
          <w:rFonts w:hint="eastAsia"/>
          <w:spacing w:val="7"/>
          <w:sz w:val="28"/>
          <w:szCs w:val="28"/>
          <w:lang w:eastAsia="zh-CN"/>
        </w:rPr>
        <w:t>210号）的要求。</w:t>
      </w:r>
    </w:p>
    <w:p>
      <w:pPr>
        <w:pStyle w:val="2"/>
        <w:spacing w:line="360" w:lineRule="auto"/>
        <w:ind w:firstLine="588" w:firstLineChars="200"/>
        <w:jc w:val="center"/>
        <w:rPr>
          <w:rFonts w:hint="eastAsia"/>
          <w:spacing w:val="7"/>
          <w:sz w:val="28"/>
          <w:szCs w:val="28"/>
          <w:lang w:eastAsia="zh-CN"/>
        </w:rPr>
      </w:pPr>
      <w:bookmarkStart w:id="0" w:name="_GoBack"/>
      <w:bookmarkEnd w:id="0"/>
      <w:r>
        <w:rPr>
          <w:rFonts w:hint="eastAsia"/>
          <w:spacing w:val="7"/>
          <w:sz w:val="28"/>
          <w:szCs w:val="28"/>
          <w:lang w:eastAsia="zh-CN"/>
        </w:rPr>
        <w:drawing>
          <wp:anchor distT="0" distB="0" distL="114300" distR="114300" simplePos="0" relativeHeight="251660288" behindDoc="0" locked="0" layoutInCell="1" allowOverlap="1">
            <wp:simplePos x="0" y="0"/>
            <wp:positionH relativeFrom="column">
              <wp:posOffset>-1091565</wp:posOffset>
            </wp:positionH>
            <wp:positionV relativeFrom="paragraph">
              <wp:posOffset>3736340</wp:posOffset>
            </wp:positionV>
            <wp:extent cx="7415530" cy="5244465"/>
            <wp:effectExtent l="0" t="0" r="13970" b="13335"/>
            <wp:wrapSquare wrapText="bothSides"/>
            <wp:docPr id="2" name="图片 2" descr="组合 1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合 1_页面_2"/>
                    <pic:cNvPicPr>
                      <a:picLocks noChangeAspect="1"/>
                    </pic:cNvPicPr>
                  </pic:nvPicPr>
                  <pic:blipFill>
                    <a:blip r:embed="rId5"/>
                    <a:stretch>
                      <a:fillRect/>
                    </a:stretch>
                  </pic:blipFill>
                  <pic:spPr>
                    <a:xfrm>
                      <a:off x="0" y="0"/>
                      <a:ext cx="7415530" cy="5244465"/>
                    </a:xfrm>
                    <a:prstGeom prst="rect">
                      <a:avLst/>
                    </a:prstGeom>
                  </pic:spPr>
                </pic:pic>
              </a:graphicData>
            </a:graphic>
          </wp:anchor>
        </w:drawing>
      </w:r>
      <w:r>
        <w:rPr>
          <w:rFonts w:hint="eastAsia"/>
          <w:spacing w:val="7"/>
          <w:sz w:val="28"/>
          <w:szCs w:val="28"/>
          <w:lang w:eastAsia="zh-CN"/>
        </w:rPr>
        <w:drawing>
          <wp:anchor distT="0" distB="0" distL="114300" distR="114300" simplePos="0" relativeHeight="251659264" behindDoc="0" locked="0" layoutInCell="1" allowOverlap="1">
            <wp:simplePos x="0" y="0"/>
            <wp:positionH relativeFrom="column">
              <wp:posOffset>-1819910</wp:posOffset>
            </wp:positionH>
            <wp:positionV relativeFrom="paragraph">
              <wp:posOffset>-5410200</wp:posOffset>
            </wp:positionV>
            <wp:extent cx="8223885" cy="5302885"/>
            <wp:effectExtent l="0" t="0" r="5715" b="12065"/>
            <wp:wrapSquare wrapText="bothSides"/>
            <wp:docPr id="1" name="图片 1" descr="组合 1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合 1_页面_1"/>
                    <pic:cNvPicPr>
                      <a:picLocks noChangeAspect="1"/>
                    </pic:cNvPicPr>
                  </pic:nvPicPr>
                  <pic:blipFill>
                    <a:blip r:embed="rId6"/>
                    <a:stretch>
                      <a:fillRect/>
                    </a:stretch>
                  </pic:blipFill>
                  <pic:spPr>
                    <a:xfrm>
                      <a:off x="0" y="0"/>
                      <a:ext cx="8223885" cy="5302885"/>
                    </a:xfrm>
                    <a:prstGeom prst="rect">
                      <a:avLst/>
                    </a:prstGeom>
                  </pic:spPr>
                </pic:pic>
              </a:graphicData>
            </a:graphic>
          </wp:anchor>
        </w:drawing>
      </w:r>
    </w:p>
    <w:p>
      <w:pPr>
        <w:pStyle w:val="2"/>
        <w:spacing w:line="360" w:lineRule="auto"/>
        <w:ind w:firstLine="588" w:firstLineChars="200"/>
        <w:jc w:val="both"/>
        <w:rPr>
          <w:rFonts w:hint="eastAsia"/>
          <w:spacing w:val="7"/>
          <w:sz w:val="28"/>
          <w:szCs w:val="28"/>
          <w:lang w:eastAsia="zh-CN"/>
        </w:rPr>
      </w:pPr>
    </w:p>
    <w:sectPr>
      <w:footerReference r:id="rId3" w:type="default"/>
      <w:pgSz w:w="11906" w:h="16839"/>
      <w:pgMar w:top="1440" w:right="1800" w:bottom="1440" w:left="1800"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jc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3NzQzMzVjZTIzNGQ5Yjg4YTY1OWY4YmUzODk2MGUifQ=="/>
  </w:docVars>
  <w:rsids>
    <w:rsidRoot w:val="0026508A"/>
    <w:rsid w:val="001F3E91"/>
    <w:rsid w:val="00225EA3"/>
    <w:rsid w:val="0026508A"/>
    <w:rsid w:val="003A634B"/>
    <w:rsid w:val="004E3BF0"/>
    <w:rsid w:val="005B3EAB"/>
    <w:rsid w:val="006E4A62"/>
    <w:rsid w:val="00785108"/>
    <w:rsid w:val="008C2CB9"/>
    <w:rsid w:val="009F7B78"/>
    <w:rsid w:val="00A16312"/>
    <w:rsid w:val="00F620E2"/>
    <w:rsid w:val="00F80A8C"/>
    <w:rsid w:val="00FF5983"/>
    <w:rsid w:val="018C11BF"/>
    <w:rsid w:val="028E13EB"/>
    <w:rsid w:val="038F31BC"/>
    <w:rsid w:val="0443792C"/>
    <w:rsid w:val="079939CD"/>
    <w:rsid w:val="07B92A66"/>
    <w:rsid w:val="0826182D"/>
    <w:rsid w:val="08BD6586"/>
    <w:rsid w:val="08F251DA"/>
    <w:rsid w:val="0B215421"/>
    <w:rsid w:val="0BBF3913"/>
    <w:rsid w:val="0DB52EF3"/>
    <w:rsid w:val="0E75024E"/>
    <w:rsid w:val="0F0F2CD5"/>
    <w:rsid w:val="10685029"/>
    <w:rsid w:val="10961B97"/>
    <w:rsid w:val="10CD61AE"/>
    <w:rsid w:val="10F8760B"/>
    <w:rsid w:val="114333A1"/>
    <w:rsid w:val="11B2655A"/>
    <w:rsid w:val="11D44511"/>
    <w:rsid w:val="1204312C"/>
    <w:rsid w:val="13195F5F"/>
    <w:rsid w:val="140B4717"/>
    <w:rsid w:val="16774218"/>
    <w:rsid w:val="16A16B1A"/>
    <w:rsid w:val="17A1082E"/>
    <w:rsid w:val="187325D8"/>
    <w:rsid w:val="1A83570D"/>
    <w:rsid w:val="1CBB1081"/>
    <w:rsid w:val="1EF35126"/>
    <w:rsid w:val="2012388A"/>
    <w:rsid w:val="20796AA6"/>
    <w:rsid w:val="20A83220"/>
    <w:rsid w:val="215B115F"/>
    <w:rsid w:val="22295326"/>
    <w:rsid w:val="253E5283"/>
    <w:rsid w:val="29D4102F"/>
    <w:rsid w:val="2A362444"/>
    <w:rsid w:val="2CA451E4"/>
    <w:rsid w:val="2D1278B1"/>
    <w:rsid w:val="2E3C7592"/>
    <w:rsid w:val="2F1E7104"/>
    <w:rsid w:val="301455A6"/>
    <w:rsid w:val="31A116F4"/>
    <w:rsid w:val="31F12C79"/>
    <w:rsid w:val="33B514D5"/>
    <w:rsid w:val="362332C8"/>
    <w:rsid w:val="368D1DFA"/>
    <w:rsid w:val="36F275DD"/>
    <w:rsid w:val="388F2DAC"/>
    <w:rsid w:val="399F2FBB"/>
    <w:rsid w:val="3AC23F19"/>
    <w:rsid w:val="3B7E3F59"/>
    <w:rsid w:val="3BC431AC"/>
    <w:rsid w:val="3D777AE0"/>
    <w:rsid w:val="3EDB32BE"/>
    <w:rsid w:val="3F6902F3"/>
    <w:rsid w:val="40A315E2"/>
    <w:rsid w:val="40B90E06"/>
    <w:rsid w:val="436A4639"/>
    <w:rsid w:val="439C056B"/>
    <w:rsid w:val="43EF4BA7"/>
    <w:rsid w:val="4413082D"/>
    <w:rsid w:val="44743E8F"/>
    <w:rsid w:val="44CF2EF9"/>
    <w:rsid w:val="450B5167"/>
    <w:rsid w:val="463A743B"/>
    <w:rsid w:val="464C44CA"/>
    <w:rsid w:val="47245F8B"/>
    <w:rsid w:val="47B50951"/>
    <w:rsid w:val="48C3453D"/>
    <w:rsid w:val="48E555AD"/>
    <w:rsid w:val="493059DD"/>
    <w:rsid w:val="4A726261"/>
    <w:rsid w:val="4AE61273"/>
    <w:rsid w:val="4B6114D0"/>
    <w:rsid w:val="4C2973D6"/>
    <w:rsid w:val="4CBB6ED5"/>
    <w:rsid w:val="4CD356E0"/>
    <w:rsid w:val="4D1D7257"/>
    <w:rsid w:val="4F683249"/>
    <w:rsid w:val="512C1180"/>
    <w:rsid w:val="540B32CF"/>
    <w:rsid w:val="560A256F"/>
    <w:rsid w:val="56692432"/>
    <w:rsid w:val="59CA3083"/>
    <w:rsid w:val="5B2E0694"/>
    <w:rsid w:val="5CB62246"/>
    <w:rsid w:val="5D266FF4"/>
    <w:rsid w:val="5E19016A"/>
    <w:rsid w:val="5F1818BC"/>
    <w:rsid w:val="5F1E469E"/>
    <w:rsid w:val="606E1E8F"/>
    <w:rsid w:val="62581748"/>
    <w:rsid w:val="63112111"/>
    <w:rsid w:val="67303132"/>
    <w:rsid w:val="6A1052CA"/>
    <w:rsid w:val="6B3D2BA2"/>
    <w:rsid w:val="6B4528F4"/>
    <w:rsid w:val="6E692DFF"/>
    <w:rsid w:val="6EE65108"/>
    <w:rsid w:val="6FB8103A"/>
    <w:rsid w:val="70820965"/>
    <w:rsid w:val="70D43718"/>
    <w:rsid w:val="748A7DE8"/>
    <w:rsid w:val="782D42EA"/>
    <w:rsid w:val="785C35BF"/>
    <w:rsid w:val="786C6089"/>
    <w:rsid w:val="790E43A7"/>
    <w:rsid w:val="7E6C09FD"/>
    <w:rsid w:val="7E764912"/>
    <w:rsid w:val="7E8104AE"/>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rPr>
  </w:style>
  <w:style w:type="character" w:customStyle="1" w:styleId="10">
    <w:name w:val="页脚 字符"/>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Words>
  <Characters>2060</Characters>
  <Lines>17</Lines>
  <Paragraphs>4</Paragraphs>
  <TotalTime>3</TotalTime>
  <ScaleCrop>false</ScaleCrop>
  <LinksUpToDate>false</LinksUpToDate>
  <CharactersWithSpaces>2417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2023-10-13T07:48:00Z</dcterms:created>
  <dc:creator>living</dc:creator>
  <cp:lastModifiedBy>Administrator</cp:lastModifiedBy>
  <cp:lastPrinted>2023-10-13T08:18:00Z</cp:lastPrinted>
  <dcterms:modified xsi:type="dcterms:W3CDTF">2023-10-20T09:14:44Z</dcterms:modified>
  <dc:title>茂名市电白区水东片区土地征收成片开发方案（公示草案）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2023-10-10T10:10:11Z</vt:filetime>
  </property>
  <property fmtid="{D5CDD505-2E9C-101B-9397-08002B2CF9AE}" pid="4" name="KSOProductBuildVer">
    <vt:lpwstr>2052-12.1.0.15712</vt:lpwstr>
  </property>
  <property fmtid="{D5CDD505-2E9C-101B-9397-08002B2CF9AE}" pid="5" name="ICV">
    <vt:lpwstr>6C4BD86E99F34D6FB442E859ECACB715_13</vt:lpwstr>
  </property>
</Properties>
</file>