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F938" w14:textId="77777777" w:rsidR="005E3FA4" w:rsidRPr="005E3FA4" w:rsidRDefault="005E3FA4" w:rsidP="005E3FA4">
      <w:pPr>
        <w:widowControl/>
        <w:shd w:val="clear" w:color="auto" w:fill="FFFFFF"/>
        <w:spacing w:line="675" w:lineRule="atLeast"/>
        <w:jc w:val="center"/>
        <w:outlineLvl w:val="1"/>
        <w:rPr>
          <w:rFonts w:ascii="微软雅黑" w:eastAsia="微软雅黑" w:hAnsi="微软雅黑" w:cs="宋体"/>
          <w:color w:val="333333"/>
          <w:kern w:val="0"/>
          <w:sz w:val="45"/>
          <w:szCs w:val="45"/>
        </w:rPr>
      </w:pPr>
      <w:r w:rsidRPr="005E3FA4">
        <w:rPr>
          <w:rFonts w:ascii="微软雅黑" w:eastAsia="微软雅黑" w:hAnsi="微软雅黑" w:cs="宋体" w:hint="eastAsia"/>
          <w:color w:val="333333"/>
          <w:kern w:val="0"/>
          <w:sz w:val="45"/>
          <w:szCs w:val="45"/>
        </w:rPr>
        <w:t>财政部 税务总局关于保险保障基金有关税收政策的通知</w:t>
      </w:r>
    </w:p>
    <w:p w14:paraId="50D66990" w14:textId="77777777" w:rsidR="005E3FA4" w:rsidRPr="005E3FA4" w:rsidRDefault="005E3FA4" w:rsidP="005E3FA4">
      <w:pPr>
        <w:pStyle w:val="a3"/>
        <w:shd w:val="clear" w:color="auto" w:fill="FFFFFF"/>
        <w:spacing w:before="0" w:beforeAutospacing="0" w:after="0" w:afterAutospacing="0"/>
        <w:jc w:val="center"/>
        <w:rPr>
          <w:color w:val="333333"/>
        </w:rPr>
      </w:pPr>
    </w:p>
    <w:p w14:paraId="2CF43A48" w14:textId="77777777" w:rsidR="005E3FA4" w:rsidRDefault="005E3FA4" w:rsidP="005E3FA4">
      <w:pPr>
        <w:pStyle w:val="a3"/>
        <w:shd w:val="clear" w:color="auto" w:fill="FFFFFF"/>
        <w:spacing w:before="0" w:beforeAutospacing="0" w:after="0" w:afterAutospacing="0"/>
        <w:jc w:val="center"/>
        <w:rPr>
          <w:color w:val="333333"/>
        </w:rPr>
      </w:pPr>
    </w:p>
    <w:p w14:paraId="2EBB3D76" w14:textId="4C9C8DAE" w:rsidR="005E3FA4" w:rsidRDefault="005E3FA4" w:rsidP="005E3FA4">
      <w:pPr>
        <w:pStyle w:val="a3"/>
        <w:shd w:val="clear" w:color="auto" w:fill="FFFFFF"/>
        <w:spacing w:before="0" w:beforeAutospacing="0" w:after="0" w:afterAutospacing="0"/>
        <w:jc w:val="center"/>
        <w:rPr>
          <w:color w:val="333333"/>
        </w:rPr>
      </w:pPr>
      <w:r>
        <w:rPr>
          <w:rFonts w:hint="eastAsia"/>
          <w:color w:val="333333"/>
        </w:rPr>
        <w:t>2023年9月22日  财税〔2023〕44号</w:t>
      </w:r>
    </w:p>
    <w:p w14:paraId="60319BC0"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各省、自治区、直辖市、计划单列市财政厅（局），新疆生产建设兵团财政局，国家税务总局各省、自治区、直辖市、计划单列市税务局：</w:t>
      </w:r>
    </w:p>
    <w:p w14:paraId="6A310451"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为支持保险保障基金发展，增强行业经营风险防范能力，现将保险保障基金有关税收政策事项明确如下： </w:t>
      </w:r>
    </w:p>
    <w:p w14:paraId="757F8305"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一、对中国保险保障基金有限责任公司（以下简称保险保障基金公司）根据《保险保障基金管理办法》取得的下列收入，免征企业所得税： </w:t>
      </w:r>
    </w:p>
    <w:p w14:paraId="37D250BA"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1.境内保险公司依法缴纳的保险保障基金； </w:t>
      </w:r>
    </w:p>
    <w:p w14:paraId="1A6FB76E"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2.依法从撤销或破产保险公司清算财产中获得的受偿收入和向有关责任方追偿所得，以及依法从保险公司风险处置中获得的财产转让所得； </w:t>
      </w:r>
    </w:p>
    <w:p w14:paraId="4ADCB1DB"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3.接受捐赠收入； </w:t>
      </w:r>
    </w:p>
    <w:p w14:paraId="0F9FEF8F"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4.银行存款利息收入； </w:t>
      </w:r>
    </w:p>
    <w:p w14:paraId="05B601FE"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5.购买政府债券、中央银行、中央企业和中央级金融机构发行债券的利息收入； </w:t>
      </w:r>
    </w:p>
    <w:p w14:paraId="327713DD"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6.国务院批准的其他资金运用取得的收入。 </w:t>
      </w:r>
    </w:p>
    <w:p w14:paraId="1D41CDAB"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二、对保险保障基金公司下列应税凭证，免征印花税： </w:t>
      </w:r>
    </w:p>
    <w:p w14:paraId="007BDE6F"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1.新设立的营业账簿； </w:t>
      </w:r>
    </w:p>
    <w:p w14:paraId="2B10FC7A"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2.在对保险公司进行风险处置和破产救助过程中签订的产权转移书据； </w:t>
      </w:r>
    </w:p>
    <w:p w14:paraId="45B297FB"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3.在对保险公司进行风险处置过程中与中国人民银行签订的再贷款合同； </w:t>
      </w:r>
    </w:p>
    <w:p w14:paraId="6F7D5E59"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4.以保险保障基金自有财产和接收的受偿资产与保险公司签订的财产保险合同； </w:t>
      </w:r>
    </w:p>
    <w:p w14:paraId="37995C8A"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对与保险保障基金公司签订上述产权转移书据或应税合同的其他当事人照章征收印花税。 </w:t>
      </w:r>
    </w:p>
    <w:p w14:paraId="117FFCAB" w14:textId="77777777" w:rsidR="005E3FA4" w:rsidRDefault="005E3FA4" w:rsidP="005E3FA4">
      <w:pPr>
        <w:pStyle w:val="a3"/>
        <w:shd w:val="clear" w:color="auto" w:fill="FFFFFF"/>
        <w:spacing w:before="0" w:beforeAutospacing="0" w:after="150" w:afterAutospacing="0"/>
        <w:rPr>
          <w:rFonts w:hint="eastAsia"/>
          <w:color w:val="333333"/>
        </w:rPr>
      </w:pPr>
      <w:r>
        <w:rPr>
          <w:rFonts w:hint="eastAsia"/>
          <w:color w:val="333333"/>
        </w:rPr>
        <w:t xml:space="preserve">　　三、本通知执行至2027年12月31日。 </w:t>
      </w:r>
    </w:p>
    <w:p w14:paraId="4C113DA9" w14:textId="77777777" w:rsidR="00014BC0" w:rsidRPr="005E3FA4" w:rsidRDefault="00014BC0"/>
    <w:sectPr w:rsidR="00014BC0" w:rsidRPr="005E3F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13"/>
    <w:rsid w:val="00014BC0"/>
    <w:rsid w:val="005E3FA4"/>
    <w:rsid w:val="00761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DF0F"/>
  <w15:chartTrackingRefBased/>
  <w15:docId w15:val="{065D69EC-7944-4722-8A50-E9F3BDB1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5E3FA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3FA4"/>
    <w:pPr>
      <w:widowControl/>
      <w:spacing w:before="100" w:beforeAutospacing="1" w:after="100" w:afterAutospacing="1"/>
      <w:jc w:val="left"/>
    </w:pPr>
    <w:rPr>
      <w:rFonts w:ascii="宋体" w:eastAsia="宋体" w:hAnsi="宋体" w:cs="宋体"/>
      <w:kern w:val="0"/>
      <w:sz w:val="24"/>
      <w:szCs w:val="24"/>
    </w:rPr>
  </w:style>
  <w:style w:type="character" w:customStyle="1" w:styleId="20">
    <w:name w:val="标题 2 字符"/>
    <w:basedOn w:val="a0"/>
    <w:link w:val="2"/>
    <w:uiPriority w:val="9"/>
    <w:rsid w:val="005E3FA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004812">
      <w:bodyDiv w:val="1"/>
      <w:marLeft w:val="0"/>
      <w:marRight w:val="0"/>
      <w:marTop w:val="0"/>
      <w:marBottom w:val="0"/>
      <w:divBdr>
        <w:top w:val="none" w:sz="0" w:space="0" w:color="auto"/>
        <w:left w:val="none" w:sz="0" w:space="0" w:color="auto"/>
        <w:bottom w:val="none" w:sz="0" w:space="0" w:color="auto"/>
        <w:right w:val="none" w:sz="0" w:space="0" w:color="auto"/>
      </w:divBdr>
    </w:div>
    <w:div w:id="174260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涛 林</dc:creator>
  <cp:keywords/>
  <dc:description/>
  <cp:lastModifiedBy>涛 林</cp:lastModifiedBy>
  <cp:revision>2</cp:revision>
  <dcterms:created xsi:type="dcterms:W3CDTF">2023-12-29T03:41:00Z</dcterms:created>
  <dcterms:modified xsi:type="dcterms:W3CDTF">2023-12-29T03:42:00Z</dcterms:modified>
</cp:coreProperties>
</file>