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0" w:name="_Toc24724706"/>
      <w:r>
        <w:rPr>
          <w:rFonts w:hint="eastAsia" w:ascii="方正小标宋_GBK" w:hAnsi="方正小标宋_GBK" w:eastAsia="方正小标宋_GBK"/>
          <w:b w:val="0"/>
          <w:bCs w:val="0"/>
          <w:sz w:val="30"/>
        </w:rPr>
        <w:t>（三）义务教育领域基层政务公开标准目录</w:t>
      </w:r>
      <w:bookmarkEnd w:id="0"/>
    </w:p>
    <w:tbl>
      <w:tblPr>
        <w:tblStyle w:val="4"/>
        <w:tblW w:w="14902"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
        <w:gridCol w:w="497"/>
        <w:gridCol w:w="828"/>
        <w:gridCol w:w="2152"/>
        <w:gridCol w:w="2015"/>
        <w:gridCol w:w="1545"/>
        <w:gridCol w:w="780"/>
        <w:gridCol w:w="1290"/>
        <w:gridCol w:w="795"/>
        <w:gridCol w:w="780"/>
        <w:gridCol w:w="585"/>
        <w:gridCol w:w="900"/>
        <w:gridCol w:w="555"/>
        <w:gridCol w:w="885"/>
        <w:gridCol w:w="797"/>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97" w:type="dxa"/>
            <w:vMerge w:val="restart"/>
            <w:shd w:val="clear" w:color="auto" w:fill="auto"/>
            <w:vAlign w:val="center"/>
          </w:tcPr>
          <w:p>
            <w:pPr>
              <w:widowControl/>
              <w:jc w:val="center"/>
              <w:rPr>
                <w:rFonts w:hint="eastAsia" w:ascii="黑体" w:hAnsi="Times New Roman" w:eastAsia="黑体"/>
                <w:color w:val="000000"/>
                <w:kern w:val="0"/>
                <w:sz w:val="22"/>
              </w:rPr>
            </w:pPr>
            <w:r>
              <w:rPr>
                <w:rFonts w:hint="eastAsia" w:ascii="黑体" w:hAnsi="宋体" w:eastAsia="黑体"/>
                <w:color w:val="000000"/>
                <w:kern w:val="0"/>
                <w:sz w:val="22"/>
              </w:rPr>
              <w:t>序号</w:t>
            </w:r>
          </w:p>
        </w:tc>
        <w:tc>
          <w:tcPr>
            <w:tcW w:w="1325" w:type="dxa"/>
            <w:gridSpan w:val="2"/>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公开事项</w:t>
            </w:r>
          </w:p>
        </w:tc>
        <w:tc>
          <w:tcPr>
            <w:tcW w:w="2152" w:type="dxa"/>
            <w:vMerge w:val="restart"/>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015" w:type="dxa"/>
            <w:vMerge w:val="restart"/>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公开依据</w:t>
            </w:r>
          </w:p>
        </w:tc>
        <w:tc>
          <w:tcPr>
            <w:tcW w:w="1545" w:type="dxa"/>
            <w:vMerge w:val="restart"/>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公开时限</w:t>
            </w:r>
          </w:p>
        </w:tc>
        <w:tc>
          <w:tcPr>
            <w:tcW w:w="780" w:type="dxa"/>
            <w:vMerge w:val="restart"/>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公开主体</w:t>
            </w:r>
          </w:p>
        </w:tc>
        <w:tc>
          <w:tcPr>
            <w:tcW w:w="1290" w:type="dxa"/>
            <w:vMerge w:val="restart"/>
            <w:shd w:val="clear" w:color="auto" w:fill="auto"/>
            <w:vAlign w:val="center"/>
          </w:tcPr>
          <w:p>
            <w:pPr>
              <w:widowControl/>
              <w:jc w:val="center"/>
              <w:rPr>
                <w:rFonts w:hint="eastAsia" w:ascii="黑体" w:hAnsi="宋体" w:eastAsia="黑体" w:cs="宋体"/>
                <w:color w:val="FF0000"/>
                <w:kern w:val="0"/>
                <w:sz w:val="22"/>
              </w:rPr>
            </w:pPr>
            <w:r>
              <w:rPr>
                <w:rFonts w:hint="eastAsia" w:ascii="黑体" w:hAnsi="宋体" w:eastAsia="黑体" w:cs="宋体"/>
                <w:color w:val="FF0000"/>
                <w:kern w:val="0"/>
                <w:sz w:val="22"/>
              </w:rPr>
              <w:t>公开渠道和载体</w:t>
            </w:r>
          </w:p>
        </w:tc>
        <w:tc>
          <w:tcPr>
            <w:tcW w:w="1575" w:type="dxa"/>
            <w:gridSpan w:val="2"/>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公开对象</w:t>
            </w:r>
          </w:p>
        </w:tc>
        <w:tc>
          <w:tcPr>
            <w:tcW w:w="1485" w:type="dxa"/>
            <w:gridSpan w:val="2"/>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公开层级</w:t>
            </w:r>
          </w:p>
        </w:tc>
        <w:tc>
          <w:tcPr>
            <w:tcW w:w="798" w:type="dxa"/>
            <w:gridSpan w:val="2"/>
            <w:shd w:val="clear" w:color="auto" w:fill="auto"/>
            <w:vAlign w:val="center"/>
          </w:tcPr>
          <w:p>
            <w:pPr>
              <w:widowControl/>
              <w:jc w:val="center"/>
              <w:rPr>
                <w:rFonts w:hint="eastAsia" w:ascii="黑体" w:hAnsi="宋体" w:eastAsia="黑体" w:cs="宋体"/>
                <w:color w:val="000000"/>
                <w:kern w:val="0"/>
                <w:sz w:val="22"/>
                <w:lang w:val="en-US" w:eastAsia="zh-CN"/>
              </w:rPr>
            </w:pPr>
            <w:r>
              <w:rPr>
                <w:rFonts w:hint="eastAsia" w:ascii="黑体" w:hAnsi="宋体" w:eastAsia="黑体" w:cs="宋体"/>
                <w:color w:val="000000"/>
                <w:kern w:val="0"/>
                <w:sz w:val="22"/>
                <w:lang w:val="en-US" w:eastAsia="zh-CN"/>
              </w:rPr>
              <w:t>事项性质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widowControl/>
              <w:jc w:val="left"/>
              <w:rPr>
                <w:rFonts w:hint="eastAsia" w:ascii="黑体" w:hAnsi="Times New Roman" w:eastAsia="黑体"/>
                <w:color w:val="000000"/>
                <w:kern w:val="0"/>
                <w:sz w:val="22"/>
              </w:rPr>
            </w:pPr>
          </w:p>
        </w:tc>
        <w:tc>
          <w:tcPr>
            <w:tcW w:w="497"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一级事项</w:t>
            </w:r>
          </w:p>
        </w:tc>
        <w:tc>
          <w:tcPr>
            <w:tcW w:w="828"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二级事项</w:t>
            </w:r>
          </w:p>
        </w:tc>
        <w:tc>
          <w:tcPr>
            <w:tcW w:w="2152" w:type="dxa"/>
            <w:vMerge w:val="continue"/>
            <w:shd w:val="clear" w:color="auto" w:fill="auto"/>
            <w:vAlign w:val="center"/>
          </w:tcPr>
          <w:p>
            <w:pPr>
              <w:widowControl/>
              <w:jc w:val="left"/>
              <w:rPr>
                <w:rFonts w:hint="eastAsia" w:ascii="黑体" w:hAnsi="宋体" w:eastAsia="黑体" w:cs="宋体"/>
                <w:color w:val="000000"/>
                <w:kern w:val="0"/>
                <w:sz w:val="22"/>
              </w:rPr>
            </w:pPr>
          </w:p>
        </w:tc>
        <w:tc>
          <w:tcPr>
            <w:tcW w:w="2015" w:type="dxa"/>
            <w:vMerge w:val="continue"/>
            <w:shd w:val="clear" w:color="auto" w:fill="auto"/>
            <w:vAlign w:val="center"/>
          </w:tcPr>
          <w:p>
            <w:pPr>
              <w:widowControl/>
              <w:jc w:val="left"/>
              <w:rPr>
                <w:rFonts w:hint="eastAsia" w:ascii="黑体" w:hAnsi="宋体" w:eastAsia="黑体" w:cs="宋体"/>
                <w:color w:val="000000"/>
                <w:kern w:val="0"/>
                <w:sz w:val="22"/>
              </w:rPr>
            </w:pPr>
          </w:p>
        </w:tc>
        <w:tc>
          <w:tcPr>
            <w:tcW w:w="1545" w:type="dxa"/>
            <w:vMerge w:val="continue"/>
            <w:shd w:val="clear" w:color="auto" w:fill="auto"/>
            <w:vAlign w:val="center"/>
          </w:tcPr>
          <w:p>
            <w:pPr>
              <w:widowControl/>
              <w:jc w:val="left"/>
              <w:rPr>
                <w:rFonts w:hint="eastAsia" w:ascii="黑体" w:hAnsi="宋体" w:eastAsia="黑体" w:cs="宋体"/>
                <w:color w:val="000000"/>
                <w:kern w:val="0"/>
                <w:sz w:val="22"/>
              </w:rPr>
            </w:pPr>
          </w:p>
        </w:tc>
        <w:tc>
          <w:tcPr>
            <w:tcW w:w="780" w:type="dxa"/>
            <w:vMerge w:val="continue"/>
            <w:shd w:val="clear" w:color="auto" w:fill="auto"/>
            <w:vAlign w:val="center"/>
          </w:tcPr>
          <w:p>
            <w:pPr>
              <w:widowControl/>
              <w:jc w:val="left"/>
              <w:rPr>
                <w:rFonts w:hint="eastAsia" w:ascii="黑体" w:hAnsi="宋体" w:eastAsia="黑体" w:cs="宋体"/>
                <w:color w:val="000000"/>
                <w:kern w:val="0"/>
                <w:sz w:val="22"/>
              </w:rPr>
            </w:pPr>
          </w:p>
        </w:tc>
        <w:tc>
          <w:tcPr>
            <w:tcW w:w="1290" w:type="dxa"/>
            <w:vMerge w:val="continue"/>
            <w:shd w:val="clear" w:color="auto" w:fill="auto"/>
            <w:vAlign w:val="center"/>
          </w:tcPr>
          <w:p>
            <w:pPr>
              <w:widowControl/>
              <w:jc w:val="left"/>
              <w:rPr>
                <w:rFonts w:hint="eastAsia" w:ascii="黑体" w:hAnsi="宋体" w:eastAsia="黑体" w:cs="宋体"/>
                <w:color w:val="FF0000"/>
                <w:kern w:val="0"/>
                <w:sz w:val="22"/>
              </w:rPr>
            </w:pPr>
          </w:p>
        </w:tc>
        <w:tc>
          <w:tcPr>
            <w:tcW w:w="795"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全社会</w:t>
            </w:r>
          </w:p>
        </w:tc>
        <w:tc>
          <w:tcPr>
            <w:tcW w:w="780"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特定群众</w:t>
            </w:r>
          </w:p>
        </w:tc>
        <w:tc>
          <w:tcPr>
            <w:tcW w:w="585"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主动</w:t>
            </w:r>
          </w:p>
        </w:tc>
        <w:tc>
          <w:tcPr>
            <w:tcW w:w="900"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55"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县级</w:t>
            </w:r>
          </w:p>
        </w:tc>
        <w:tc>
          <w:tcPr>
            <w:tcW w:w="885"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乡、村级</w:t>
            </w:r>
          </w:p>
        </w:tc>
        <w:tc>
          <w:tcPr>
            <w:tcW w:w="797" w:type="dxa"/>
            <w:shd w:val="clear" w:color="auto" w:fill="auto"/>
            <w:vAlign w:val="center"/>
          </w:tcPr>
          <w:p>
            <w:pPr>
              <w:widowControl/>
              <w:jc w:val="center"/>
              <w:rPr>
                <w:rFonts w:hint="eastAsia" w:ascii="黑体" w:hAnsi="宋体" w:eastAsia="黑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Height w:val="1056" w:hRule="atLeast"/>
        </w:trPr>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1</w:t>
            </w:r>
          </w:p>
        </w:tc>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政策</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文件</w:t>
            </w: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教育法律</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《教育法》、《义务教育法》、《民办教育促进法》、《教师法》、《国家通用语言文字法》</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规范性文件</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部门和地方政府规章、各类教育政策文件</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jc w:val="left"/>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2</w:t>
            </w:r>
          </w:p>
        </w:tc>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教育概况</w:t>
            </w: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教育事业发展主要情况</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教育事业发展主要情况</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《统计法》、《政府信息公开条例》、《教育统计管理规定》</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jc w:val="left"/>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义务教育学校名录</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学校名称、学校地址、办学层次、办学类型、办公电话</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Height w:val="2088" w:hRule="atLeast"/>
        </w:trPr>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3</w:t>
            </w:r>
          </w:p>
        </w:tc>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民办学校信息</w:t>
            </w: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民办学校办学基本信息</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学校名称</w:t>
            </w:r>
            <w:r>
              <w:rPr>
                <w:rFonts w:hint="eastAsia" w:ascii="仿宋_GB2312" w:hAnsi="宋体" w:eastAsia="仿宋_GB2312"/>
                <w:color w:val="000000"/>
                <w:sz w:val="18"/>
                <w:szCs w:val="18"/>
                <w:lang w:eastAsia="zh-CN"/>
              </w:rPr>
              <w:t>、</w:t>
            </w:r>
            <w:r>
              <w:rPr>
                <w:rFonts w:hint="eastAsia" w:ascii="仿宋_GB2312" w:hAnsi="宋体" w:eastAsia="仿宋_GB2312"/>
                <w:color w:val="000000"/>
                <w:sz w:val="18"/>
                <w:szCs w:val="18"/>
              </w:rPr>
              <w:t>办学许可证、办学规模、联系方式</w:t>
            </w:r>
          </w:p>
        </w:tc>
        <w:tc>
          <w:tcPr>
            <w:tcW w:w="2015" w:type="dxa"/>
            <w:vMerge w:val="restart"/>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《民办教育促进法》、《政府信息公开条例》、《国务院关于鼓励社会力量兴办教育 促进民办教育健康发展的若干意见》</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■政府网站</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eastAsia="仿宋_GB2312"/>
                <w:color w:val="000000"/>
                <w:sz w:val="18"/>
                <w:szCs w:val="18"/>
              </w:rPr>
              <w:t>　</w:t>
            </w:r>
          </w:p>
        </w:tc>
        <w:tc>
          <w:tcPr>
            <w:tcW w:w="797" w:type="dxa"/>
            <w:shd w:val="clear" w:color="auto" w:fill="auto"/>
            <w:vAlign w:val="center"/>
          </w:tcPr>
          <w:p>
            <w:pPr>
              <w:jc w:val="center"/>
              <w:rPr>
                <w:rFonts w:hint="eastAsia" w:ascii="仿宋_GB2312"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民办学校设立、变更、终止等事项行政审批、备案信息</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法律依据、办理流程、审批结果</w:t>
            </w:r>
          </w:p>
        </w:tc>
        <w:tc>
          <w:tcPr>
            <w:tcW w:w="2015" w:type="dxa"/>
            <w:vMerge w:val="continue"/>
            <w:shd w:val="clear" w:color="auto" w:fill="auto"/>
            <w:vAlign w:val="center"/>
          </w:tcPr>
          <w:p>
            <w:pPr>
              <w:rPr>
                <w:rFonts w:hint="eastAsia" w:ascii="仿宋_GB2312" w:hAnsi="宋体" w:eastAsia="仿宋_GB2312" w:cs="宋体"/>
                <w:color w:val="000000"/>
                <w:sz w:val="18"/>
                <w:szCs w:val="18"/>
              </w:rPr>
            </w:pP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jc w:val="left"/>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日常监管信息</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年检指标、年检程序、年检结果、行政处罚信息</w:t>
            </w:r>
          </w:p>
        </w:tc>
        <w:tc>
          <w:tcPr>
            <w:tcW w:w="2015" w:type="dxa"/>
            <w:vMerge w:val="continue"/>
            <w:shd w:val="clear" w:color="auto" w:fill="auto"/>
            <w:vAlign w:val="center"/>
          </w:tcPr>
          <w:p>
            <w:pPr>
              <w:rPr>
                <w:rFonts w:hint="eastAsia" w:ascii="仿宋_GB2312" w:hAnsi="宋体" w:eastAsia="仿宋_GB2312" w:cs="宋体"/>
                <w:color w:val="000000"/>
                <w:sz w:val="18"/>
                <w:szCs w:val="18"/>
              </w:rPr>
            </w:pP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■政府网站</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4</w:t>
            </w:r>
          </w:p>
        </w:tc>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财务信息</w:t>
            </w: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财务信息</w:t>
            </w:r>
          </w:p>
        </w:tc>
        <w:tc>
          <w:tcPr>
            <w:tcW w:w="2152" w:type="dxa"/>
            <w:shd w:val="clear" w:color="auto" w:fill="auto"/>
            <w:vAlign w:val="center"/>
          </w:tcPr>
          <w:p>
            <w:pPr>
              <w:jc w:val="left"/>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财务管理及监督办法、</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年度经费预决算信息</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县级、乡级教育部门</w:t>
            </w:r>
          </w:p>
        </w:tc>
        <w:tc>
          <w:tcPr>
            <w:tcW w:w="1290" w:type="dxa"/>
            <w:shd w:val="clear" w:color="auto" w:fill="auto"/>
            <w:vAlign w:val="center"/>
          </w:tcPr>
          <w:p>
            <w:pPr>
              <w:jc w:val="left"/>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5</w:t>
            </w:r>
          </w:p>
        </w:tc>
        <w:tc>
          <w:tcPr>
            <w:tcW w:w="497" w:type="dxa"/>
            <w:vMerge w:val="restart"/>
            <w:shd w:val="clear" w:color="auto" w:fill="auto"/>
            <w:vAlign w:val="center"/>
          </w:tcPr>
          <w:p>
            <w:pPr>
              <w:jc w:val="center"/>
              <w:rPr>
                <w:rFonts w:hint="eastAsia" w:ascii="仿宋_GB2312" w:hAnsi="宋体" w:eastAsia="仿宋_GB2312" w:cs="宋体"/>
                <w:sz w:val="18"/>
                <w:szCs w:val="18"/>
              </w:rPr>
            </w:pPr>
            <w:r>
              <w:rPr>
                <w:rFonts w:hint="eastAsia" w:ascii="仿宋_GB2312" w:hAnsi="宋体" w:eastAsia="仿宋_GB2312"/>
                <w:sz w:val="18"/>
                <w:szCs w:val="18"/>
              </w:rPr>
              <w:t>招生管理</w:t>
            </w:r>
          </w:p>
        </w:tc>
        <w:tc>
          <w:tcPr>
            <w:tcW w:w="828"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学校介绍</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办学性质、办学地点、办学规模、办学基本条件、联系方式等</w:t>
            </w:r>
          </w:p>
        </w:tc>
        <w:tc>
          <w:tcPr>
            <w:tcW w:w="2015" w:type="dxa"/>
            <w:vMerge w:val="restart"/>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《政府信息公开条例》、《教育部关于进一步做好小学升入初中免试就近入学工作的实施意见》、《教育部关于推进中小学信息公开工作的意见》</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县级、乡级教育部门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80"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　</w:t>
            </w:r>
          </w:p>
        </w:tc>
        <w:tc>
          <w:tcPr>
            <w:tcW w:w="5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900"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　</w:t>
            </w:r>
          </w:p>
        </w:tc>
        <w:tc>
          <w:tcPr>
            <w:tcW w:w="55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8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97" w:type="dxa"/>
            <w:shd w:val="clear" w:color="auto" w:fill="auto"/>
            <w:vAlign w:val="center"/>
          </w:tcPr>
          <w:p>
            <w:pPr>
              <w:jc w:val="center"/>
              <w:rPr>
                <w:rFonts w:hint="eastAsia" w:ascii="仿宋_GB2312" w:hAnsi="仿宋"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sz w:val="18"/>
                <w:szCs w:val="18"/>
              </w:rPr>
            </w:pPr>
          </w:p>
        </w:tc>
        <w:tc>
          <w:tcPr>
            <w:tcW w:w="828" w:type="dxa"/>
            <w:shd w:val="clear" w:color="auto" w:fill="auto"/>
            <w:vAlign w:val="center"/>
          </w:tcPr>
          <w:p>
            <w:pPr>
              <w:rPr>
                <w:rFonts w:hint="eastAsia" w:ascii="仿宋_GB2312" w:hAnsi="宋体" w:eastAsia="仿宋_GB2312"/>
                <w:sz w:val="18"/>
                <w:szCs w:val="18"/>
              </w:rPr>
            </w:pPr>
            <w:r>
              <w:rPr>
                <w:rFonts w:hint="eastAsia" w:ascii="仿宋_GB2312" w:hAnsi="宋体" w:eastAsia="仿宋_GB2312"/>
                <w:sz w:val="18"/>
                <w:szCs w:val="18"/>
              </w:rPr>
              <w:t>招生政策</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随迁子女入学办法；部分适龄儿童或少年延缓入学、休学等特殊需求的政策解读等</w:t>
            </w:r>
          </w:p>
        </w:tc>
        <w:tc>
          <w:tcPr>
            <w:tcW w:w="2015" w:type="dxa"/>
            <w:vMerge w:val="continue"/>
            <w:shd w:val="clear" w:color="auto" w:fill="auto"/>
            <w:vAlign w:val="center"/>
          </w:tcPr>
          <w:p>
            <w:pPr>
              <w:rPr>
                <w:rFonts w:hint="eastAsia" w:ascii="仿宋_GB2312" w:hAnsi="宋体" w:eastAsia="仿宋_GB2312" w:cs="宋体"/>
                <w:sz w:val="18"/>
                <w:szCs w:val="18"/>
              </w:rPr>
            </w:pP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80"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　</w:t>
            </w:r>
          </w:p>
        </w:tc>
        <w:tc>
          <w:tcPr>
            <w:tcW w:w="5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900"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　</w:t>
            </w:r>
          </w:p>
        </w:tc>
        <w:tc>
          <w:tcPr>
            <w:tcW w:w="55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885" w:type="dxa"/>
            <w:shd w:val="clear" w:color="auto" w:fill="auto"/>
            <w:vAlign w:val="center"/>
          </w:tcPr>
          <w:p>
            <w:pPr>
              <w:jc w:val="center"/>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797" w:type="dxa"/>
            <w:shd w:val="clear" w:color="auto" w:fill="auto"/>
            <w:vAlign w:val="center"/>
          </w:tcPr>
          <w:p>
            <w:pPr>
              <w:jc w:val="center"/>
              <w:rPr>
                <w:rFonts w:hint="eastAsia" w:ascii="仿宋_GB2312"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5</w:t>
            </w:r>
          </w:p>
        </w:tc>
        <w:tc>
          <w:tcPr>
            <w:tcW w:w="497" w:type="dxa"/>
            <w:shd w:val="clear" w:color="auto" w:fill="auto"/>
            <w:vAlign w:val="center"/>
          </w:tcPr>
          <w:p>
            <w:pPr>
              <w:jc w:val="center"/>
              <w:rPr>
                <w:rFonts w:hint="eastAsia" w:ascii="仿宋_GB2312" w:hAnsi="宋体" w:eastAsia="仿宋_GB2312" w:cs="宋体"/>
                <w:sz w:val="18"/>
                <w:szCs w:val="18"/>
              </w:rPr>
            </w:pPr>
            <w:r>
              <w:rPr>
                <w:rFonts w:hint="eastAsia" w:ascii="仿宋_GB2312" w:hAnsi="宋体" w:eastAsia="仿宋_GB2312"/>
                <w:sz w:val="18"/>
                <w:szCs w:val="18"/>
              </w:rPr>
              <w:t>招生管理</w:t>
            </w:r>
          </w:p>
        </w:tc>
        <w:tc>
          <w:tcPr>
            <w:tcW w:w="828" w:type="dxa"/>
            <w:shd w:val="clear" w:color="auto" w:fill="auto"/>
            <w:vAlign w:val="center"/>
          </w:tcPr>
          <w:p>
            <w:pPr>
              <w:rPr>
                <w:rFonts w:hint="eastAsia" w:ascii="仿宋_GB2312" w:hAnsi="宋体" w:eastAsia="仿宋_GB2312"/>
                <w:sz w:val="18"/>
                <w:szCs w:val="18"/>
              </w:rPr>
            </w:pPr>
            <w:r>
              <w:rPr>
                <w:rFonts w:hint="eastAsia" w:ascii="仿宋_GB2312" w:hAnsi="宋体" w:eastAsia="仿宋_GB2312"/>
                <w:sz w:val="18"/>
                <w:szCs w:val="18"/>
              </w:rPr>
              <w:t>招生计划</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各校本年度招生计划</w:t>
            </w:r>
          </w:p>
        </w:tc>
        <w:tc>
          <w:tcPr>
            <w:tcW w:w="2015"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《政府信息公开条例》、《教育部关于进一步做好小学升入初中免试就近入学工作的实施意见》《教育部关于推进中小学信息公开工作的意见》</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rPr>
                <w:rFonts w:hint="eastAsia" w:ascii="仿宋_GB2312" w:hAnsi="仿宋" w:eastAsia="仿宋_GB2312"/>
                <w:color w:val="FF0000"/>
                <w:sz w:val="18"/>
                <w:szCs w:val="18"/>
              </w:rPr>
            </w:pPr>
            <w:r>
              <w:rPr>
                <w:rFonts w:hint="eastAsia" w:ascii="仿宋_GB2312" w:hAnsi="仿宋" w:eastAsia="仿宋_GB2312"/>
                <w:color w:val="FF0000"/>
                <w:sz w:val="18"/>
                <w:szCs w:val="18"/>
              </w:rPr>
              <w:t xml:space="preserve">■政府网站  </w:t>
            </w:r>
          </w:p>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■社区/企事业单位/村公示栏（电子屏）  </w:t>
            </w:r>
          </w:p>
        </w:tc>
        <w:tc>
          <w:tcPr>
            <w:tcW w:w="79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80"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　</w:t>
            </w:r>
          </w:p>
        </w:tc>
        <w:tc>
          <w:tcPr>
            <w:tcW w:w="5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900"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　</w:t>
            </w:r>
          </w:p>
        </w:tc>
        <w:tc>
          <w:tcPr>
            <w:tcW w:w="55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885" w:type="dxa"/>
            <w:shd w:val="clear" w:color="auto" w:fill="auto"/>
            <w:vAlign w:val="center"/>
          </w:tcPr>
          <w:p>
            <w:pPr>
              <w:jc w:val="center"/>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797" w:type="dxa"/>
            <w:shd w:val="clear" w:color="auto" w:fill="auto"/>
            <w:vAlign w:val="center"/>
          </w:tcPr>
          <w:p>
            <w:pPr>
              <w:jc w:val="center"/>
              <w:rPr>
                <w:rFonts w:hint="eastAsia" w:ascii="仿宋_GB2312"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6</w:t>
            </w:r>
          </w:p>
        </w:tc>
        <w:tc>
          <w:tcPr>
            <w:tcW w:w="497" w:type="dxa"/>
            <w:vMerge w:val="restart"/>
            <w:shd w:val="clear" w:color="auto" w:fill="auto"/>
            <w:vAlign w:val="center"/>
          </w:tcPr>
          <w:p>
            <w:pPr>
              <w:jc w:val="center"/>
              <w:rPr>
                <w:rFonts w:hint="eastAsia" w:ascii="仿宋_GB2312" w:hAnsi="宋体" w:eastAsia="仿宋_GB2312" w:cs="宋体"/>
                <w:sz w:val="18"/>
                <w:szCs w:val="18"/>
              </w:rPr>
            </w:pPr>
            <w:r>
              <w:rPr>
                <w:rFonts w:hint="eastAsia" w:ascii="仿宋_GB2312" w:hAnsi="宋体" w:eastAsia="仿宋_GB2312"/>
                <w:sz w:val="18"/>
                <w:szCs w:val="18"/>
              </w:rPr>
              <w:t>学生管理</w:t>
            </w:r>
          </w:p>
        </w:tc>
        <w:tc>
          <w:tcPr>
            <w:tcW w:w="828" w:type="dxa"/>
            <w:shd w:val="clear" w:color="auto" w:fill="auto"/>
            <w:vAlign w:val="center"/>
          </w:tcPr>
          <w:p>
            <w:pPr>
              <w:rPr>
                <w:rFonts w:hint="eastAsia" w:ascii="仿宋_GB2312" w:hAnsi="宋体" w:eastAsia="仿宋_GB2312"/>
                <w:sz w:val="18"/>
                <w:szCs w:val="18"/>
              </w:rPr>
            </w:pPr>
            <w:r>
              <w:rPr>
                <w:rFonts w:hint="eastAsia" w:ascii="仿宋_GB2312" w:hAnsi="宋体" w:eastAsia="仿宋_GB2312"/>
                <w:sz w:val="18"/>
                <w:szCs w:val="18"/>
              </w:rPr>
              <w:t>学籍管理</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区域内义务教育阶段学生休学、复学、转学相关政策及所需材料和办理流程；适龄儿童延缓入学所需材料及办理流程；学籍证明、毕（结）业证书遗失办理学历证明确认</w:t>
            </w:r>
          </w:p>
        </w:tc>
        <w:tc>
          <w:tcPr>
            <w:tcW w:w="2015"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《义务教育法》、《政府信息公开条例》、《中小学生学籍管理办法》</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rPr>
                <w:rFonts w:hint="eastAsia" w:ascii="仿宋_GB2312" w:hAnsi="仿宋" w:eastAsia="仿宋_GB2312"/>
                <w:color w:val="FF0000"/>
                <w:sz w:val="18"/>
                <w:szCs w:val="18"/>
              </w:rPr>
            </w:pPr>
            <w:r>
              <w:rPr>
                <w:rFonts w:hint="eastAsia" w:ascii="仿宋_GB2312" w:hAnsi="仿宋" w:eastAsia="仿宋_GB2312"/>
                <w:color w:val="FF0000"/>
                <w:sz w:val="18"/>
                <w:szCs w:val="18"/>
              </w:rPr>
              <w:t xml:space="preserve">■政府网站  </w:t>
            </w:r>
          </w:p>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■其他：中小学生学籍管理系统    </w:t>
            </w:r>
          </w:p>
        </w:tc>
        <w:tc>
          <w:tcPr>
            <w:tcW w:w="79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　</w:t>
            </w:r>
          </w:p>
        </w:tc>
        <w:tc>
          <w:tcPr>
            <w:tcW w:w="5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90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　</w:t>
            </w:r>
          </w:p>
        </w:tc>
        <w:tc>
          <w:tcPr>
            <w:tcW w:w="55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885" w:type="dxa"/>
            <w:shd w:val="clear" w:color="auto" w:fill="auto"/>
            <w:vAlign w:val="center"/>
          </w:tcPr>
          <w:p>
            <w:pPr>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797" w:type="dxa"/>
            <w:shd w:val="clear" w:color="auto" w:fill="auto"/>
            <w:vAlign w:val="center"/>
          </w:tcPr>
          <w:p>
            <w:pPr>
              <w:rPr>
                <w:rFonts w:hint="eastAsia" w:ascii="仿宋_GB2312"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sz w:val="18"/>
                <w:szCs w:val="18"/>
              </w:rPr>
            </w:pPr>
          </w:p>
        </w:tc>
        <w:tc>
          <w:tcPr>
            <w:tcW w:w="828" w:type="dxa"/>
            <w:shd w:val="clear" w:color="auto" w:fill="auto"/>
            <w:vAlign w:val="center"/>
          </w:tcPr>
          <w:p>
            <w:pPr>
              <w:rPr>
                <w:rFonts w:hint="eastAsia" w:ascii="仿宋_GB2312" w:hAnsi="宋体" w:eastAsia="仿宋_GB2312"/>
                <w:sz w:val="18"/>
                <w:szCs w:val="18"/>
              </w:rPr>
            </w:pPr>
            <w:r>
              <w:rPr>
                <w:rFonts w:hint="eastAsia" w:ascii="仿宋_GB2312" w:hAnsi="宋体" w:eastAsia="仿宋_GB2312"/>
                <w:sz w:val="18"/>
                <w:szCs w:val="18"/>
              </w:rPr>
              <w:t>义务教育学生资助政策</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统一城乡义务教育“两免一补”政策</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《政府信息公开条例》、《国务院关于进一步完善城乡义务教育经费保障机制的通知》</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县级、乡级教育部门</w:t>
            </w:r>
          </w:p>
        </w:tc>
        <w:tc>
          <w:tcPr>
            <w:tcW w:w="1290" w:type="dxa"/>
            <w:shd w:val="clear" w:color="auto" w:fill="auto"/>
            <w:vAlign w:val="center"/>
          </w:tcPr>
          <w:p>
            <w:pPr>
              <w:rPr>
                <w:rFonts w:hint="eastAsia" w:ascii="仿宋_GB2312" w:hAnsi="仿宋" w:eastAsia="仿宋_GB2312"/>
                <w:color w:val="FF0000"/>
                <w:sz w:val="18"/>
                <w:szCs w:val="18"/>
              </w:rPr>
            </w:pPr>
            <w:r>
              <w:rPr>
                <w:rFonts w:hint="eastAsia" w:ascii="仿宋_GB2312" w:hAnsi="仿宋" w:eastAsia="仿宋_GB2312"/>
                <w:color w:val="FF0000"/>
                <w:sz w:val="18"/>
                <w:szCs w:val="18"/>
              </w:rPr>
              <w:t xml:space="preserve">■政府网站  </w:t>
            </w:r>
          </w:p>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■社区/企事业单位/村公示栏（电子屏）</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sz w:val="18"/>
                <w:szCs w:val="18"/>
              </w:rPr>
            </w:pPr>
          </w:p>
        </w:tc>
        <w:tc>
          <w:tcPr>
            <w:tcW w:w="828" w:type="dxa"/>
            <w:shd w:val="clear" w:color="auto" w:fill="auto"/>
            <w:vAlign w:val="center"/>
          </w:tcPr>
          <w:p>
            <w:pPr>
              <w:rPr>
                <w:rFonts w:hint="eastAsia" w:ascii="仿宋_GB2312" w:hAnsi="宋体" w:eastAsia="仿宋_GB2312"/>
                <w:sz w:val="18"/>
                <w:szCs w:val="18"/>
              </w:rPr>
            </w:pPr>
            <w:r>
              <w:rPr>
                <w:rFonts w:hint="eastAsia" w:ascii="仿宋_GB2312" w:hAnsi="宋体" w:eastAsia="仿宋_GB2312"/>
                <w:sz w:val="18"/>
                <w:szCs w:val="18"/>
              </w:rPr>
              <w:t>学生评优奖励</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省市县“三好学生”“优秀学生干部”评选标准；评比方法；表彰名单等</w:t>
            </w:r>
          </w:p>
        </w:tc>
        <w:tc>
          <w:tcPr>
            <w:tcW w:w="2015"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《政府信息公开条例》，当地省市县表彰文件</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　</w:t>
            </w:r>
          </w:p>
        </w:tc>
        <w:tc>
          <w:tcPr>
            <w:tcW w:w="5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90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　</w:t>
            </w:r>
          </w:p>
        </w:tc>
        <w:tc>
          <w:tcPr>
            <w:tcW w:w="55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885" w:type="dxa"/>
            <w:shd w:val="clear" w:color="auto" w:fill="auto"/>
            <w:vAlign w:val="center"/>
          </w:tcPr>
          <w:p>
            <w:pPr>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797" w:type="dxa"/>
            <w:shd w:val="clear" w:color="auto" w:fill="auto"/>
            <w:vAlign w:val="center"/>
          </w:tcPr>
          <w:p>
            <w:pPr>
              <w:rPr>
                <w:rFonts w:hint="eastAsia" w:ascii="仿宋_GB2312"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6</w:t>
            </w:r>
          </w:p>
        </w:tc>
        <w:tc>
          <w:tcPr>
            <w:tcW w:w="497" w:type="dxa"/>
            <w:shd w:val="clear" w:color="auto" w:fill="auto"/>
            <w:vAlign w:val="center"/>
          </w:tcPr>
          <w:p>
            <w:pPr>
              <w:jc w:val="center"/>
              <w:rPr>
                <w:rFonts w:hint="eastAsia" w:ascii="仿宋_GB2312" w:hAnsi="宋体" w:eastAsia="仿宋_GB2312"/>
                <w:sz w:val="18"/>
                <w:szCs w:val="18"/>
              </w:rPr>
            </w:pPr>
            <w:r>
              <w:rPr>
                <w:rFonts w:hint="eastAsia" w:ascii="仿宋_GB2312" w:hAnsi="宋体" w:eastAsia="仿宋_GB2312"/>
                <w:sz w:val="18"/>
                <w:szCs w:val="18"/>
              </w:rPr>
              <w:t>学生管理</w:t>
            </w:r>
          </w:p>
        </w:tc>
        <w:tc>
          <w:tcPr>
            <w:tcW w:w="828" w:type="dxa"/>
            <w:shd w:val="clear" w:color="auto" w:fill="auto"/>
            <w:vAlign w:val="center"/>
          </w:tcPr>
          <w:p>
            <w:pPr>
              <w:rPr>
                <w:rFonts w:hint="eastAsia" w:ascii="仿宋_GB2312" w:hAnsi="宋体" w:eastAsia="仿宋_GB2312"/>
                <w:sz w:val="18"/>
                <w:szCs w:val="18"/>
              </w:rPr>
            </w:pPr>
            <w:r>
              <w:rPr>
                <w:rFonts w:hint="eastAsia" w:ascii="仿宋_GB2312" w:hAnsi="宋体" w:eastAsia="仿宋_GB2312"/>
                <w:sz w:val="18"/>
                <w:szCs w:val="18"/>
              </w:rPr>
              <w:t>优待政策</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军人子女参加中考优待确认办理的材料、流程和政策要求；少数民族考生中考加分确认办理的材料、流程和政策要求；归侨学生、归侨子女、华侨子女和港澳台籍考生中考加分确认；公安英烈和因公牺牲伤残公安民警子女教育优待细则；综合性消防救援队伍人员及其子女教育优待细则</w:t>
            </w:r>
          </w:p>
        </w:tc>
        <w:tc>
          <w:tcPr>
            <w:tcW w:w="2015"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政府信息公开条例》、《军人子女教育优待办法》、《国务院办公厅关于严格执行党和国家民族政策有关问题的通知》、《归侨侨眷权益保护法》、《教育部、国务院台湾事务办公室关于进一步做好台湾同胞子女在大陆中小学和幼儿园就读工作的若干意见》等</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　</w:t>
            </w:r>
          </w:p>
        </w:tc>
        <w:tc>
          <w:tcPr>
            <w:tcW w:w="5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90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　</w:t>
            </w:r>
          </w:p>
        </w:tc>
        <w:tc>
          <w:tcPr>
            <w:tcW w:w="55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885" w:type="dxa"/>
            <w:shd w:val="clear" w:color="auto" w:fill="auto"/>
            <w:vAlign w:val="center"/>
          </w:tcPr>
          <w:p>
            <w:pPr>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797" w:type="dxa"/>
            <w:shd w:val="clear" w:color="auto" w:fill="auto"/>
            <w:vAlign w:val="center"/>
          </w:tcPr>
          <w:p>
            <w:pPr>
              <w:rPr>
                <w:rFonts w:hint="eastAsia" w:ascii="仿宋_GB2312"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7</w:t>
            </w:r>
          </w:p>
        </w:tc>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教师管理</w:t>
            </w: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教师培训</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教师培训政策文件、培训项目组织实施通知</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《教育法》、《教师法》、《中小学教师继续教育规定》</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eastAsia="仿宋_GB2312"/>
                <w:color w:val="000000"/>
                <w:sz w:val="18"/>
                <w:szCs w:val="18"/>
              </w:rPr>
              <w:t>　</w:t>
            </w:r>
          </w:p>
        </w:tc>
        <w:tc>
          <w:tcPr>
            <w:tcW w:w="797" w:type="dxa"/>
            <w:shd w:val="clear" w:color="auto" w:fill="auto"/>
            <w:vAlign w:val="center"/>
          </w:tcPr>
          <w:p>
            <w:pPr>
              <w:jc w:val="center"/>
              <w:rPr>
                <w:rFonts w:hint="eastAsia" w:ascii="仿宋_GB2312"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828" w:type="dxa"/>
            <w:vMerge w:val="restart"/>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教师资格认定</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教师资格认定申请材料；参加体检时间、医疗机构名单、体检合格标准；认定结果；咨询方式、监督举报方式、常见问题等</w:t>
            </w:r>
          </w:p>
        </w:tc>
        <w:tc>
          <w:tcPr>
            <w:tcW w:w="2015" w:type="dxa"/>
            <w:vMerge w:val="restart"/>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《教师法》、《政府信息公开条例》、《教师资格条例》及实施办法、《教育部关于印发〈教师资格证书管理规定〉的通知》</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eastAsia="仿宋_GB2312"/>
                <w:color w:val="000000"/>
                <w:sz w:val="18"/>
                <w:szCs w:val="18"/>
              </w:rPr>
              <w:t>　</w:t>
            </w:r>
          </w:p>
        </w:tc>
        <w:tc>
          <w:tcPr>
            <w:tcW w:w="797" w:type="dxa"/>
            <w:shd w:val="clear" w:color="auto" w:fill="auto"/>
            <w:vAlign w:val="center"/>
          </w:tcPr>
          <w:p>
            <w:pPr>
              <w:jc w:val="center"/>
              <w:rPr>
                <w:rFonts w:hint="eastAsia" w:ascii="仿宋_GB2312"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Height w:val="749" w:hRule="atLeas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828" w:type="dxa"/>
            <w:vMerge w:val="continue"/>
            <w:shd w:val="clear" w:color="auto" w:fill="auto"/>
            <w:vAlign w:val="center"/>
          </w:tcPr>
          <w:p>
            <w:pPr>
              <w:rPr>
                <w:rFonts w:hint="eastAsia" w:ascii="仿宋_GB2312" w:hAnsi="宋体" w:eastAsia="仿宋_GB2312" w:cs="宋体"/>
                <w:color w:val="000000"/>
                <w:sz w:val="18"/>
                <w:szCs w:val="18"/>
              </w:rPr>
            </w:pP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中小学、幼儿园教师资格证书补发、换发政策及流程</w:t>
            </w:r>
          </w:p>
        </w:tc>
        <w:tc>
          <w:tcPr>
            <w:tcW w:w="2015" w:type="dxa"/>
            <w:vMerge w:val="continue"/>
            <w:shd w:val="clear" w:color="auto" w:fill="auto"/>
            <w:vAlign w:val="center"/>
          </w:tcPr>
          <w:p>
            <w:pPr>
              <w:rPr>
                <w:rFonts w:hint="eastAsia" w:ascii="仿宋_GB2312" w:hAnsi="宋体" w:eastAsia="仿宋_GB2312" w:cs="宋体"/>
                <w:color w:val="000000"/>
                <w:sz w:val="18"/>
                <w:szCs w:val="18"/>
              </w:rPr>
            </w:pP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eastAsia="仿宋_GB2312"/>
                <w:color w:val="000000"/>
                <w:sz w:val="18"/>
                <w:szCs w:val="18"/>
              </w:rPr>
              <w:t>　</w:t>
            </w:r>
          </w:p>
        </w:tc>
        <w:tc>
          <w:tcPr>
            <w:tcW w:w="797" w:type="dxa"/>
            <w:shd w:val="clear" w:color="auto" w:fill="auto"/>
            <w:vAlign w:val="center"/>
          </w:tcPr>
          <w:p>
            <w:pPr>
              <w:jc w:val="center"/>
              <w:rPr>
                <w:rFonts w:hint="eastAsia" w:ascii="仿宋_GB2312"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7</w:t>
            </w:r>
          </w:p>
        </w:tc>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教师管理</w:t>
            </w: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教师公开招聘</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教师招聘计划和公告、拟聘用人员名单公示</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《政府信息公开条例》、《事业单位公开招聘人员暂行规定》、《关于进一步规范事业单位公开招聘工作的通知》、《人力资源社会保障部关于事业单位公开招聘岗位条件设置有关问题的通知》</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eastAsia="仿宋_GB2312"/>
                <w:color w:val="000000"/>
                <w:sz w:val="18"/>
                <w:szCs w:val="18"/>
              </w:rPr>
              <w:t>　</w:t>
            </w:r>
          </w:p>
        </w:tc>
        <w:tc>
          <w:tcPr>
            <w:tcW w:w="797" w:type="dxa"/>
            <w:shd w:val="clear" w:color="auto" w:fill="auto"/>
            <w:vAlign w:val="center"/>
          </w:tcPr>
          <w:p>
            <w:pPr>
              <w:jc w:val="center"/>
              <w:rPr>
                <w:rFonts w:hint="eastAsia" w:ascii="仿宋_GB2312"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lang w:val="en-US" w:eastAsia="zh-CN"/>
              </w:rPr>
            </w:pPr>
            <w:r>
              <w:rPr>
                <w:rFonts w:hint="eastAsia" w:ascii="仿宋_GB2312" w:hAnsi="宋体" w:eastAsia="仿宋_GB2312"/>
                <w:color w:val="000000"/>
                <w:sz w:val="18"/>
                <w:szCs w:val="18"/>
              </w:rPr>
              <w:t>7</w:t>
            </w:r>
          </w:p>
        </w:tc>
        <w:tc>
          <w:tcPr>
            <w:tcW w:w="497"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教师管理</w:t>
            </w:r>
          </w:p>
        </w:tc>
        <w:tc>
          <w:tcPr>
            <w:tcW w:w="828" w:type="dxa"/>
            <w:shd w:val="clear" w:color="auto" w:fill="auto"/>
            <w:vAlign w:val="center"/>
          </w:tcPr>
          <w:p>
            <w:pPr>
              <w:rPr>
                <w:rFonts w:hint="eastAsia" w:ascii="仿宋_GB2312" w:hAnsi="宋体" w:eastAsia="仿宋_GB2312" w:cs="宋体"/>
                <w:color w:val="000000"/>
                <w:sz w:val="18"/>
                <w:szCs w:val="18"/>
                <w:lang w:val="en-US" w:eastAsia="zh-CN"/>
              </w:rPr>
            </w:pPr>
            <w:r>
              <w:rPr>
                <w:rFonts w:hint="eastAsia" w:ascii="仿宋_GB2312" w:hAnsi="宋体" w:eastAsia="仿宋_GB2312" w:cs="宋体"/>
                <w:color w:val="000000"/>
                <w:sz w:val="18"/>
                <w:szCs w:val="18"/>
                <w:lang w:val="en-US" w:eastAsia="zh-CN"/>
              </w:rPr>
              <w:t>教师行为规范</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对教师有严重违反教师职业行为准则的行政处罚信息</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新时代高校教师职业行为十项准则》、《新时代中小学教师职业行为十项准则》、《新时代幼儿园教师职业行为十项准则》、《中小学教师违反职业道德行为处理办法（2018年修订）》、《幼儿园教师违反职业道德行为处理办法》等</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eastAsia="仿宋_GB2312"/>
                <w:color w:val="000000"/>
                <w:sz w:val="18"/>
                <w:szCs w:val="18"/>
              </w:rPr>
              <w:t>　</w:t>
            </w:r>
          </w:p>
        </w:tc>
        <w:tc>
          <w:tcPr>
            <w:tcW w:w="797" w:type="dxa"/>
            <w:shd w:val="clear" w:color="auto" w:fill="auto"/>
            <w:vAlign w:val="center"/>
          </w:tcPr>
          <w:p>
            <w:pPr>
              <w:jc w:val="center"/>
              <w:rPr>
                <w:rFonts w:hint="eastAsia" w:ascii="仿宋_GB2312"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Height w:val="1652" w:hRule="atLeast"/>
        </w:trPr>
        <w:tc>
          <w:tcPr>
            <w:tcW w:w="497" w:type="dxa"/>
            <w:shd w:val="clear" w:color="auto" w:fill="auto"/>
            <w:vAlign w:val="center"/>
          </w:tcPr>
          <w:p>
            <w:pPr>
              <w:rPr>
                <w:rFonts w:hint="eastAsia" w:ascii="仿宋_GB2312" w:hAnsi="宋体" w:eastAsia="仿宋_GB2312" w:cs="宋体"/>
                <w:color w:val="000000"/>
                <w:sz w:val="18"/>
                <w:szCs w:val="18"/>
              </w:rPr>
            </w:pPr>
          </w:p>
        </w:tc>
        <w:tc>
          <w:tcPr>
            <w:tcW w:w="497" w:type="dxa"/>
            <w:shd w:val="clear" w:color="auto" w:fill="auto"/>
            <w:vAlign w:val="center"/>
          </w:tcPr>
          <w:p>
            <w:pPr>
              <w:rPr>
                <w:rFonts w:hint="eastAsia" w:ascii="仿宋_GB2312" w:hAnsi="宋体" w:eastAsia="仿宋_GB2312" w:cs="宋体"/>
                <w:color w:val="000000"/>
                <w:sz w:val="18"/>
                <w:szCs w:val="18"/>
              </w:rPr>
            </w:pPr>
          </w:p>
        </w:tc>
        <w:tc>
          <w:tcPr>
            <w:tcW w:w="828"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教师职称评审</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评审政策、评审通知、学校拟推荐人选名单、评审结果、最终结果</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《政府信息公开条例》、《人力资源社会保障部教育部关于印发深化中小学教师职称制度改革的指导意见的通知》</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信息形成（变更）3个工作日内，公示时间不少于7个工作日</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县级、乡级教育部门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教师</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7</w:t>
            </w:r>
          </w:p>
        </w:tc>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教师管理</w:t>
            </w:r>
          </w:p>
        </w:tc>
        <w:tc>
          <w:tcPr>
            <w:tcW w:w="828"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特岗教师招聘</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岗位设置管理政策、条件、程序等；特岗教师招聘文件及招聘公告；初审结果；笔试成绩；资格复审结果；参加面试人员、面试成绩；进入考察人员名单；拟聘用人员名单；最终聘用结果</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《政府信息公开条例》、《教育部 财政部 人事部 中央编办 关于实施农村义务教育阶段学校教师特设岗位计划的通知》、《教育部 财政部 人力资源社会保障部 中央编办 关于继续组织实施“农村义务教育阶段学校教师特设岗位计划”的通知》等</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信息形成（变更）3个工作日内，公示时间不少于7个工作日</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应聘</w:t>
            </w:r>
            <w:r>
              <w:rPr>
                <w:rFonts w:hint="eastAsia" w:ascii="仿宋_GB2312" w:hAnsi="仿宋" w:eastAsia="仿宋_GB2312"/>
                <w:color w:val="000000"/>
                <w:sz w:val="18"/>
                <w:szCs w:val="18"/>
              </w:rPr>
              <w:br w:type="textWrapping"/>
            </w:r>
            <w:r>
              <w:rPr>
                <w:rFonts w:hint="eastAsia" w:ascii="仿宋_GB2312" w:hAnsi="仿宋" w:eastAsia="仿宋_GB2312"/>
                <w:color w:val="000000"/>
                <w:sz w:val="18"/>
                <w:szCs w:val="18"/>
              </w:rPr>
              <w:t>人员</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7</w:t>
            </w:r>
          </w:p>
        </w:tc>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教师管理</w:t>
            </w: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乡村教师生活补助</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管理制度、实施方案、实施时间、补助范围、发放对象、补助档次标准</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《政府信息公开条例》、《教育部 财政部关于落实2013年中央1号文件要求对在连片特困地区工作的乡村教师给予生活补助的通知》、《教育部关于加强乡村教师生活补助经费管理有关工作的通知》</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信息形成（变更）3个工作日内；教师申领情况进行常年公示</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jc w:val="left"/>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Height w:val="2294" w:hRule="atLeast"/>
        </w:trPr>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8</w:t>
            </w:r>
          </w:p>
        </w:tc>
        <w:tc>
          <w:tcPr>
            <w:tcW w:w="497" w:type="dxa"/>
            <w:shd w:val="clear" w:color="auto" w:fill="auto"/>
            <w:vAlign w:val="center"/>
          </w:tcPr>
          <w:p>
            <w:pPr>
              <w:jc w:val="center"/>
              <w:rPr>
                <w:rFonts w:hint="eastAsia" w:ascii="仿宋_GB2312" w:hAnsi="宋体" w:eastAsia="仿宋_GB2312" w:cs="宋体"/>
                <w:sz w:val="18"/>
                <w:szCs w:val="18"/>
              </w:rPr>
            </w:pPr>
            <w:r>
              <w:rPr>
                <w:rFonts w:hint="eastAsia" w:ascii="仿宋_GB2312" w:hAnsi="宋体" w:eastAsia="仿宋_GB2312"/>
                <w:sz w:val="18"/>
                <w:szCs w:val="18"/>
              </w:rPr>
              <w:t>重要政策执行情况</w:t>
            </w:r>
          </w:p>
        </w:tc>
        <w:tc>
          <w:tcPr>
            <w:tcW w:w="828"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控辍保学</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“一县一策”控辍保学工作方案；年度工作进展情况（含义务教育学生失学、辍学的总体情况，建档立卡家庭贫困学生总体就学情况）</w:t>
            </w:r>
          </w:p>
        </w:tc>
        <w:tc>
          <w:tcPr>
            <w:tcW w:w="2015"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《政府信息公开条例》、《国务院办公厅关于进一步加强控辍保学提高义务教育巩固水平的通知</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spacing w:line="240" w:lineRule="exact"/>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■政府网站</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rPr>
                <w:rFonts w:hint="eastAsia" w:ascii="仿宋_GB2312" w:hAnsi="Times New Roman" w:eastAsia="仿宋_GB2312"/>
                <w:sz w:val="18"/>
                <w:szCs w:val="18"/>
              </w:rPr>
            </w:pPr>
            <w:r>
              <w:rPr>
                <w:rFonts w:hint="eastAsia" w:ascii="仿宋_GB2312" w:hAnsi="Times New Roman" w:eastAsia="仿宋_GB2312"/>
                <w:sz w:val="18"/>
                <w:szCs w:val="18"/>
              </w:rPr>
              <w:t>　</w:t>
            </w:r>
          </w:p>
        </w:tc>
        <w:tc>
          <w:tcPr>
            <w:tcW w:w="797" w:type="dxa"/>
            <w:shd w:val="clear" w:color="auto" w:fill="auto"/>
            <w:vAlign w:val="center"/>
          </w:tcPr>
          <w:p>
            <w:pPr>
              <w:rPr>
                <w:rFonts w:hint="eastAsia" w:ascii="仿宋_GB2312"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restart"/>
            <w:shd w:val="clear" w:color="auto" w:fill="auto"/>
            <w:vAlign w:val="center"/>
          </w:tcPr>
          <w:p>
            <w:pPr>
              <w:jc w:val="center"/>
              <w:rPr>
                <w:rFonts w:hint="eastAsia" w:ascii="仿宋_GB2312" w:hAnsi="宋体" w:eastAsia="仿宋_GB2312" w:cs="宋体"/>
                <w:sz w:val="18"/>
                <w:szCs w:val="18"/>
              </w:rPr>
            </w:pPr>
            <w:r>
              <w:rPr>
                <w:rFonts w:hint="eastAsia" w:ascii="仿宋_GB2312" w:hAnsi="宋体" w:eastAsia="仿宋_GB2312"/>
                <w:sz w:val="18"/>
                <w:szCs w:val="18"/>
              </w:rPr>
              <w:t>8</w:t>
            </w:r>
          </w:p>
        </w:tc>
        <w:tc>
          <w:tcPr>
            <w:tcW w:w="497" w:type="dxa"/>
            <w:vMerge w:val="restart"/>
            <w:shd w:val="clear" w:color="auto" w:fill="auto"/>
            <w:vAlign w:val="center"/>
          </w:tcPr>
          <w:p>
            <w:pPr>
              <w:jc w:val="center"/>
              <w:rPr>
                <w:rFonts w:hint="eastAsia" w:ascii="仿宋_GB2312" w:hAnsi="宋体" w:eastAsia="仿宋_GB2312" w:cs="宋体"/>
                <w:sz w:val="18"/>
                <w:szCs w:val="18"/>
              </w:rPr>
            </w:pPr>
            <w:r>
              <w:rPr>
                <w:rFonts w:hint="eastAsia" w:ascii="仿宋_GB2312" w:hAnsi="宋体" w:eastAsia="仿宋_GB2312"/>
                <w:sz w:val="18"/>
                <w:szCs w:val="18"/>
              </w:rPr>
              <w:t>重要政策执行情况</w:t>
            </w:r>
          </w:p>
        </w:tc>
        <w:tc>
          <w:tcPr>
            <w:tcW w:w="828"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学校体育评价</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学校体育工作自评结果（体育课、体育训练、体育比赛、体育场地、条件保障等）</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《政府信息公开条例》、教育部关于印发《学生体质健康监测评价办法》等三个文件的通知</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sz w:val="18"/>
                <w:szCs w:val="18"/>
              </w:rPr>
            </w:pPr>
          </w:p>
        </w:tc>
        <w:tc>
          <w:tcPr>
            <w:tcW w:w="497" w:type="dxa"/>
            <w:vMerge w:val="continue"/>
            <w:shd w:val="clear" w:color="auto" w:fill="auto"/>
            <w:vAlign w:val="center"/>
          </w:tcPr>
          <w:p>
            <w:pPr>
              <w:rPr>
                <w:rFonts w:hint="eastAsia" w:ascii="仿宋_GB2312" w:hAnsi="宋体" w:eastAsia="仿宋_GB2312" w:cs="宋体"/>
                <w:sz w:val="18"/>
                <w:szCs w:val="18"/>
              </w:rPr>
            </w:pPr>
          </w:p>
        </w:tc>
        <w:tc>
          <w:tcPr>
            <w:tcW w:w="828"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学校美育评价</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学校艺术教育工作自评结果（艺术课程、艺术活动、</w:t>
            </w:r>
            <w:bookmarkStart w:id="1" w:name="_GoBack"/>
            <w:bookmarkEnd w:id="1"/>
            <w:r>
              <w:rPr>
                <w:rFonts w:hint="eastAsia" w:ascii="仿宋_GB2312" w:hAnsi="宋体" w:eastAsia="仿宋_GB2312"/>
                <w:color w:val="000000"/>
                <w:sz w:val="18"/>
                <w:szCs w:val="18"/>
              </w:rPr>
              <w:t>条件保障、特色发展及学生艺术素质测评等）</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《政府信息公开条例》、教育部关于印发《中小学生艺术素质测评办法》等三个文件的通知</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Height w:val="1707" w:hRule="atLeast"/>
        </w:trPr>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9</w:t>
            </w:r>
          </w:p>
        </w:tc>
        <w:tc>
          <w:tcPr>
            <w:tcW w:w="497" w:type="dxa"/>
            <w:vMerge w:val="restart"/>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 xml:space="preserve">    教育督导</w:t>
            </w: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机构队伍</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督导部门组成、督学名单、</w:t>
            </w:r>
          </w:p>
        </w:tc>
        <w:tc>
          <w:tcPr>
            <w:tcW w:w="2015" w:type="dxa"/>
            <w:vMerge w:val="restart"/>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《教育督导条例》、《县域义务教育均衡发展督导评估暂行办法》、《县域义务教育优质均衡发展督导评估办法》</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p>
        </w:tc>
        <w:tc>
          <w:tcPr>
            <w:tcW w:w="797" w:type="dxa"/>
            <w:shd w:val="clear" w:color="auto" w:fill="auto"/>
            <w:vAlign w:val="center"/>
          </w:tcPr>
          <w:p>
            <w:pPr>
              <w:jc w:val="center"/>
              <w:rPr>
                <w:rFonts w:hint="eastAsia" w:ascii="仿宋_GB2312" w:hAnsi="仿宋" w:eastAsia="仿宋_GB2312"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828"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学校督导评估</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年度督导工作计划内容、责任区划分和责任督学名单、责任督学日常督导事项，学校督导评估的办法、指标体系、督导评估报告</w:t>
            </w:r>
          </w:p>
        </w:tc>
        <w:tc>
          <w:tcPr>
            <w:tcW w:w="2015" w:type="dxa"/>
            <w:vMerge w:val="continue"/>
            <w:shd w:val="clear" w:color="auto" w:fill="auto"/>
            <w:vAlign w:val="center"/>
          </w:tcPr>
          <w:p>
            <w:pPr>
              <w:rPr>
                <w:rFonts w:hint="eastAsia" w:ascii="仿宋_GB2312" w:hAnsi="宋体" w:eastAsia="仿宋_GB2312" w:cs="宋体"/>
                <w:color w:val="000000"/>
                <w:sz w:val="18"/>
                <w:szCs w:val="18"/>
              </w:rPr>
            </w:pP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10</w:t>
            </w:r>
          </w:p>
        </w:tc>
        <w:tc>
          <w:tcPr>
            <w:tcW w:w="497" w:type="dxa"/>
            <w:shd w:val="clear" w:color="auto" w:fill="auto"/>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校园安全</w:t>
            </w:r>
          </w:p>
        </w:tc>
        <w:tc>
          <w:tcPr>
            <w:tcW w:w="828"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校园安全管理</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校园安全管理法律法规、配套管理制度，学生住宿、用餐、组织活动等安全管理情况，校园安全突发事件应急预案、预警信息、应对情况、调查处理情况，校车使用许可申请政策规定及申请流程</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《政府信息公开条例》、《国务院办公厅关于加强中小学幼儿园安全风险防控体系建设的意见》、《教育部关于推进中小学信息公开工作的意见》、《校车安全管理条例》</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97" w:type="dxa"/>
            <w:shd w:val="clear" w:color="auto" w:fill="auto"/>
            <w:vAlign w:val="center"/>
          </w:tcPr>
          <w:p>
            <w:pPr>
              <w:jc w:val="center"/>
              <w:rPr>
                <w:rFonts w:hint="eastAsia" w:ascii="仿宋_GB2312" w:hAnsi="仿宋" w:eastAsia="仿宋_GB2312"/>
                <w:color w:val="000000"/>
                <w:sz w:val="18"/>
                <w:szCs w:val="18"/>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411AF8"/>
    <w:rsid w:val="04E2753F"/>
    <w:rsid w:val="0CF5405F"/>
    <w:rsid w:val="1A411AF8"/>
    <w:rsid w:val="535C1CA6"/>
    <w:rsid w:val="57A41B47"/>
    <w:rsid w:val="676821A6"/>
    <w:rsid w:val="73AE2FF8"/>
    <w:rsid w:val="73C24134"/>
    <w:rsid w:val="74DC21CE"/>
    <w:rsid w:val="7C481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揭阳市教育局</Company>
  <Pages>1</Pages>
  <Words>0</Words>
  <Characters>0</Characters>
  <Lines>0</Lines>
  <Paragraphs>0</Paragraphs>
  <TotalTime>11</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2020-06-23T01:27:00Z</dcterms:created>
  <dc:creator>Administrator</dc:creator>
  <cp:lastModifiedBy>揭阳空港经济区教育局</cp:lastModifiedBy>
  <cp:lastPrinted>2020-11-03T09:06:00Z</cp:lastPrinted>
  <dcterms:modified xsi:type="dcterms:W3CDTF">2020-11-04T09:19:15Z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