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1C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 w14:paraId="6B1235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 w14:paraId="4B6510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2020年东升街道办事处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政府信息公开工作年度报告</w:t>
      </w:r>
    </w:p>
    <w:p w14:paraId="2B8EF2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 w14:paraId="49ADBF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一、总体情况</w:t>
      </w:r>
    </w:p>
    <w:p w14:paraId="53EF93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1、主动公开政府信息情况</w:t>
      </w:r>
    </w:p>
    <w:p w14:paraId="7DC48E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东升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街道办事处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信息公开工作严格按照《中华人民共和国政府信息公开条例》和上级部门的总体要求，妥善处理公开与保密的关系，合理界定信息公开范围，做到积极稳妥，及时准确，公开、公正、便民。20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年，通过网站、公开栏等多种公开形式，对政府信息进行公开，重点公开了以下信息：主要领导及领导分工、政府各类工作动态、政府信息公开工作年度报告等内容。</w:t>
      </w:r>
    </w:p>
    <w:p w14:paraId="3D9AC2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（一）公开内容</w:t>
      </w:r>
    </w:p>
    <w:p w14:paraId="7BCE1A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20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年，我街道共主动公开政府信息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条。</w:t>
      </w:r>
    </w:p>
    <w:p w14:paraId="64AFCC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（二）公开形式</w:t>
      </w:r>
    </w:p>
    <w:p w14:paraId="4DA743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除在政府网站公布信息外，我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街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还利用信息宣传栏公开各类政务信息。其中包括党务公开栏、廉政文化宣传栏、安全生产宣传栏、劳保专栏、计生专栏等，全年共公开信息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380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条，同时街道通过宣传横幅，及时宣传各类政策、工作要求。　　</w:t>
      </w:r>
    </w:p>
    <w:p w14:paraId="6A9504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2、依申请公开政府信息情况</w:t>
      </w:r>
    </w:p>
    <w:p w14:paraId="5CF2EE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（一）申请情况</w:t>
      </w:r>
    </w:p>
    <w:p w14:paraId="62E796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东升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街道20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年受理政府信息公开申请一宗。</w:t>
      </w:r>
    </w:p>
    <w:p w14:paraId="07CC99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（二）申请处理情况</w:t>
      </w:r>
    </w:p>
    <w:p w14:paraId="122DB8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东升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街道已按规定要求进行回复。</w:t>
      </w:r>
    </w:p>
    <w:p w14:paraId="1B4236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3、因政府信息公开申请行政复议、提起行政诉讼的情况</w:t>
      </w:r>
    </w:p>
    <w:p w14:paraId="6D1DEF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20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年，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东升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街道严格按照《中华人民共和国政府信息公开条例》和上级部门有关规定开展政府信息公开工作，没有因政府信息公开申请行政复议、提起行政诉讼和申诉的情况发生。</w:t>
      </w:r>
    </w:p>
    <w:p w14:paraId="7A6C88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48363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tbl>
      <w:tblPr>
        <w:tblStyle w:val="3"/>
        <w:tblW w:w="225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0"/>
        <w:gridCol w:w="2119"/>
        <w:gridCol w:w="3319"/>
        <w:gridCol w:w="1106"/>
        <w:gridCol w:w="994"/>
        <w:gridCol w:w="806"/>
        <w:gridCol w:w="934"/>
        <w:gridCol w:w="397"/>
        <w:gridCol w:w="750"/>
        <w:gridCol w:w="2620"/>
        <w:gridCol w:w="1080"/>
        <w:gridCol w:w="1080"/>
        <w:gridCol w:w="1080"/>
        <w:gridCol w:w="1080"/>
        <w:gridCol w:w="1080"/>
        <w:gridCol w:w="1080"/>
      </w:tblGrid>
      <w:tr w14:paraId="37FEF7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597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二、主动公开政府信息情况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30F6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0F1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366B6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154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22BA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5BDC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948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26D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D2B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A210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E2D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0E0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C8A7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B21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0AD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 w14:paraId="1A24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第二十条第（一）项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412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52F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C00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0BD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648A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BBA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0B45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4A4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791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515B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D4B2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3F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E1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0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E5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1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2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对外公开总数量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CA0C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B9B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F99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B954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4F15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E7C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85D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AD1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8602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80E4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799B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91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B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规章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7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9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4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8F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A39E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07CA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1FA7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C025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8FF6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FF2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4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2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D9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1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7E6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A9E13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3C3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0B0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001E8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E04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2346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6DE5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712A1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F9A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DA4F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0E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 w14:paraId="506E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第二十条第（五）项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FE5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5EFF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391F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D87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A699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092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EA44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22FF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689F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CF2E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AB3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92F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9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6F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90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处理决定数量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75F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F3E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39C7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991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0BFA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4A4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F88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715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371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536D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67A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20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1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5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A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D0B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B15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A29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B9F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8F11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7EF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C2A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CCC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1DDA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4FCBE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8477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4CC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7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5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0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A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C4F3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46C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953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80E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AF73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CFEEF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A15A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30FE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9343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D0A0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B7B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 w14:paraId="4236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第二十条第（六）项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E2ECB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D4B7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8101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9DD85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FC9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72F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92A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953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4340E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34B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3DB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729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3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D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E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处理决定数量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AAF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C35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C37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0FC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1ED9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81F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8328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442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2D1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475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8DB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C52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C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7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F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D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B28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CA31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3581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417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0E65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7CB1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710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4D7A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4A09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957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8BAA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242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C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B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2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D87D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6132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C01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7663B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3B4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EC0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D8C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0A20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CB5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B6C1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B05A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464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 w14:paraId="4EF7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第二十条第（八）项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795A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AD3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F4E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619D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E3C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468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FF6E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E6B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13D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FC6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EF5D8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08A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B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6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AFC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DF4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F103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4FD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195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CB1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606B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664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DF67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BED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D51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F4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9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AE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3BF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78A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B5C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86E8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513CB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B8B7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CACE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FCCA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367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7E6E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AE6F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85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 w14:paraId="22D0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第二十条第（九）项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5AE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DB66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769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440E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DA80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7B33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6EA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19B41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6202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9CA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5D0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C6E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C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EC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4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采购总金额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4526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F824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1E6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8E21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AAC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29F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B68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6C8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E55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C15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010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B47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A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7ACF0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7B33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6D9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FC0A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11BE6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3EA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3808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FFE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001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18B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109D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314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82C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三、收到和处理政府信息公开申请情况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EAB50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E566B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5CCF5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E6841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CEA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5D2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E55A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0031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B9104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3BE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0C4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77B1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585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592B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7B4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4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E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868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8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申请人情况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7F23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83F26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A0C8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D5F2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C2B9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456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4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8652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7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65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F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8229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165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CB238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36A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ACF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7E2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44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FB504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98341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A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0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3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3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7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FF660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EE95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B309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269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456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7D7B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ED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3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E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5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6C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F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9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5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58B7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DE5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538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D128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C43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0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2C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CE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93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D8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5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7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2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34B9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5DD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7C71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C92C6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392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B7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0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5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C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23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2D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68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2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ED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D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BD1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5F0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197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CD3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F9F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944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29A5F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0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F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2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4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F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4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D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B406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7570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CC71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123D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D15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7B9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CF413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E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E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4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1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0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0C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2CC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BF7D1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E39A7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251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F468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50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C6C3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CAC8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D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D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1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10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5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4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E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1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174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DB5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B2F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C6A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49D1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CED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BDAE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89ACD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2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B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B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F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D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4189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F46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A6A1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9850D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C05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D5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8A4D5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56FD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4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C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1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6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A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D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6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5A4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900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673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87E0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4DD3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9E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044D3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83254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C8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2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2D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9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7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E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A9A9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74D2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3369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A66C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14A5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C63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108C5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D13C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E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C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2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4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F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F31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02C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066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5BB3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77B6A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63E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39B69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70662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7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8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9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6D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4F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0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B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096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856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6DF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A2E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F3F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CF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7F291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B563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72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E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9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A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5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0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6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377B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A9F3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C046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60D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7A31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90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09A3B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1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F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4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3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E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8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4C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9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C98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25A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C72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40E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142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315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AEFEE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FBB4D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A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4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0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C4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7D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3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8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2916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FCFD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EFC7A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7B42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C3FF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6DA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2038E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529E0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A3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75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A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5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B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C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4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3ED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A33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211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7F07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E4EE9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32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A8454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7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B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C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6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A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2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4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0DA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3812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8A290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EE01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1937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BE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F6032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36E6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2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7A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1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0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B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5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42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D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CF6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FD26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0FEE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390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078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2AD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2D845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76C0D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9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41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12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8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E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B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F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4859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58E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762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0CC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D538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AC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D9F9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5C6C5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2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C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B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7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0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5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F76B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609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9B22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05B6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69226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E9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2903C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40954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5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8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6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8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F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27AB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CC854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326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3E3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A8F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42C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8E35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5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5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8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6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D6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9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B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275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C9B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999E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4C3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0618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688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BA46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D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5E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F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9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2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08E3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E2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8223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E31E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89A6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0FC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D9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3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0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A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0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6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D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26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0302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B007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FC5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B6D2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BE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0247" w:type="dxa"/>
          <w:trHeight w:val="420" w:hRule="atLeast"/>
        </w:trPr>
        <w:tc>
          <w:tcPr>
            <w:tcW w:w="12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04E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四、政府信息公开行政复议、行政诉讼情况</w:t>
            </w:r>
          </w:p>
        </w:tc>
      </w:tr>
      <w:tr w14:paraId="49D24F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119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23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行政诉讼</w:t>
            </w:r>
          </w:p>
        </w:tc>
      </w:tr>
      <w:tr w14:paraId="56E6A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9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2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B6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33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3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8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9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4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65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7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54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3A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复议后起诉</w:t>
            </w:r>
          </w:p>
        </w:tc>
      </w:tr>
      <w:tr w14:paraId="424B2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53AED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8255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537EE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59D2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CA24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2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1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4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D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D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D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B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C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6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</w:tr>
      <w:tr w14:paraId="66D44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97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4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02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9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7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8C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F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6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6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E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20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4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4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 w14:paraId="6FE125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 w14:paraId="76BC4C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五、存在的主要问题及改进情况</w:t>
      </w:r>
    </w:p>
    <w:p w14:paraId="4DB411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（一）存在的主要问题。</w:t>
      </w:r>
    </w:p>
    <w:p w14:paraId="348AF5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信息公开工作规范性有待进一步加强；主动向社会公开信息的领域有待进一步拓展；信息公开工作机制有待进一步完善；工作力量有待进一步增强。</w:t>
      </w:r>
    </w:p>
    <w:p w14:paraId="67EE85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（二）改进措施。</w:t>
      </w:r>
    </w:p>
    <w:p w14:paraId="120F80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一是街道将进一步加强公开平台建设。不断优化网站栏目，及时更新网站信息，丰富网页信息组织方式，加强网络信息安全，提高管理水平；二是进一步完善政府信息公开各项规章制度，形成以制度管人、以制度管事的长效机制，三是进一步梳理所掌握的政府信息，及时公开，定期维护，保证公开信息的完整性和准确性。</w:t>
      </w:r>
    </w:p>
    <w:p w14:paraId="346911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六、其他需要报告的事项</w:t>
      </w:r>
    </w:p>
    <w:p w14:paraId="26A281A3">
      <w:pPr>
        <w:ind w:firstLine="1120" w:firstLineChars="400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无。</w:t>
      </w:r>
    </w:p>
    <w:p w14:paraId="0F7CBD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C0D72-6BD1-4572-9494-8BCE70632E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E34948-585A-4D02-8223-E3B3ECCD443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1F0E4F5-ECCE-44C7-AD5A-8A284D4885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67FF1"/>
    <w:rsid w:val="0CEB499E"/>
    <w:rsid w:val="41E447AC"/>
    <w:rsid w:val="43396CA8"/>
    <w:rsid w:val="48B6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styleId="7">
    <w:name w:val="HTML Code"/>
    <w:basedOn w:val="4"/>
    <w:qFormat/>
    <w:uiPriority w:val="0"/>
    <w:rPr>
      <w:rFonts w:ascii="Courier New" w:hAnsi="Courier New"/>
      <w:sz w:val="20"/>
    </w:rPr>
  </w:style>
  <w:style w:type="character" w:customStyle="1" w:styleId="8">
    <w:name w:val="active4"/>
    <w:basedOn w:val="4"/>
    <w:qFormat/>
    <w:uiPriority w:val="0"/>
    <w:rPr>
      <w:color w:val="333333"/>
    </w:rPr>
  </w:style>
  <w:style w:type="character" w:customStyle="1" w:styleId="9">
    <w:name w:val="calendar-head__next-year-btn"/>
    <w:basedOn w:val="4"/>
    <w:qFormat/>
    <w:uiPriority w:val="0"/>
  </w:style>
  <w:style w:type="character" w:customStyle="1" w:styleId="10">
    <w:name w:val="calendar-head__year-range"/>
    <w:basedOn w:val="4"/>
    <w:qFormat/>
    <w:uiPriority w:val="0"/>
    <w:rPr>
      <w:vanish/>
    </w:rPr>
  </w:style>
  <w:style w:type="character" w:customStyle="1" w:styleId="11">
    <w:name w:val="calendar-head__prev-range-btn"/>
    <w:basedOn w:val="4"/>
    <w:uiPriority w:val="0"/>
    <w:rPr>
      <w:vanish/>
    </w:rPr>
  </w:style>
  <w:style w:type="character" w:customStyle="1" w:styleId="12">
    <w:name w:val="calendar-head__next-range-btn"/>
    <w:basedOn w:val="4"/>
    <w:qFormat/>
    <w:uiPriority w:val="0"/>
    <w:rPr>
      <w:vanish/>
    </w:rPr>
  </w:style>
  <w:style w:type="character" w:customStyle="1" w:styleId="13">
    <w:name w:val="calendar-head__text-display"/>
    <w:basedOn w:val="4"/>
    <w:qFormat/>
    <w:uiPriority w:val="0"/>
    <w:rPr>
      <w:vanish/>
    </w:rPr>
  </w:style>
  <w:style w:type="character" w:customStyle="1" w:styleId="14">
    <w:name w:val="hover2"/>
    <w:basedOn w:val="4"/>
    <w:qFormat/>
    <w:uiPriority w:val="0"/>
    <w:rPr>
      <w:color w:val="2F6EA2"/>
    </w:rPr>
  </w:style>
  <w:style w:type="character" w:customStyle="1" w:styleId="15">
    <w:name w:val="calendar-head__next-month-btn"/>
    <w:basedOn w:val="4"/>
    <w:qFormat/>
    <w:uiPriority w:val="0"/>
  </w:style>
  <w:style w:type="character" w:customStyle="1" w:styleId="16">
    <w:name w:val="hover"/>
    <w:basedOn w:val="4"/>
    <w:qFormat/>
    <w:uiPriority w:val="0"/>
    <w:rPr>
      <w:color w:val="2F6EA2"/>
    </w:rPr>
  </w:style>
  <w:style w:type="character" w:customStyle="1" w:styleId="17">
    <w:name w:val="active"/>
    <w:basedOn w:val="4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1633</Words>
  <Characters>1667</Characters>
  <Lines>0</Lines>
  <Paragraphs>0</Paragraphs>
  <TotalTime>0</TotalTime>
  <ScaleCrop>false</ScaleCrop>
  <LinksUpToDate>false</LinksUpToDate>
  <CharactersWithSpaces>1669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2021-01-05T08:54:00Z</dcterms:created>
  <dc:creator>Administrator</dc:creator>
  <cp:lastModifiedBy>鑫</cp:lastModifiedBy>
  <dcterms:modified xsi:type="dcterms:W3CDTF">2025-07-24T08:03:04Z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eyJoZGlkIjoiMjI1MzQ1YTM5YmIwOTI5OWFiNmEzNmZkMmNkNTM5YzMiLCJ1c2VySWQiOiI2MDY2MTc4NzAifQ==</vt:lpwstr>
  </property>
  <property fmtid="{D5CDD505-2E9C-101B-9397-08002B2CF9AE}" pid="4" name="ICV">
    <vt:lpwstr>C0464C5596424AF5AC8FC4CB3161538A_12</vt:lpwstr>
  </property>
</Properties>
</file>