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393660">
      <w:pPr>
        <w:pStyle w:val="2"/>
        <w:autoSpaceDE w:val="0"/>
        <w:autoSpaceDN w:val="0"/>
        <w:spacing w:before="30"/>
        <w:ind w:right="455"/>
        <w:rPr>
          <w:rFonts w:hint="eastAsia" w:ascii="方正小标宋简体" w:hAnsi="方正小标宋简体" w:eastAsia="方正小标宋简体" w:cs="方正小标宋简体"/>
          <w:kern w:val="0"/>
          <w:sz w:val="44"/>
          <w:szCs w:val="44"/>
        </w:rPr>
      </w:pPr>
    </w:p>
    <w:p w14:paraId="61D42C44">
      <w:pPr>
        <w:pStyle w:val="2"/>
        <w:autoSpaceDE w:val="0"/>
        <w:autoSpaceDN w:val="0"/>
        <w:spacing w:before="30"/>
        <w:ind w:right="455"/>
        <w:rPr>
          <w:rFonts w:hint="eastAsia" w:ascii="方正小标宋简体" w:hAnsi="方正小标宋简体" w:eastAsia="方正小标宋简体" w:cs="方正小标宋简体"/>
          <w:kern w:val="0"/>
          <w:sz w:val="44"/>
          <w:szCs w:val="44"/>
        </w:rPr>
      </w:pPr>
    </w:p>
    <w:p w14:paraId="10905346">
      <w:pPr>
        <w:pStyle w:val="2"/>
        <w:autoSpaceDE w:val="0"/>
        <w:autoSpaceDN w:val="0"/>
        <w:spacing w:before="30"/>
        <w:ind w:right="455"/>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广东省揭阳市空港经济区砲台镇砲台社区等8个社区全域土地综合整治试点实施</w:t>
      </w:r>
    </w:p>
    <w:p w14:paraId="2B43632C">
      <w:pPr>
        <w:pStyle w:val="2"/>
        <w:autoSpaceDE w:val="0"/>
        <w:autoSpaceDN w:val="0"/>
        <w:spacing w:before="30"/>
        <w:ind w:right="455"/>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方案（一般调整）的公示稿</w:t>
      </w:r>
    </w:p>
    <w:p w14:paraId="53406C0B">
      <w:pPr>
        <w:pStyle w:val="3"/>
        <w:autoSpaceDE w:val="0"/>
        <w:autoSpaceDN w:val="0"/>
        <w:spacing w:before="430"/>
        <w:ind w:left="0" w:leftChars="0" w:firstLine="640" w:firstLineChars="200"/>
        <w:jc w:val="left"/>
        <w:rPr>
          <w:rFonts w:hint="eastAsia" w:ascii="仿宋_GB2312" w:hAnsi="Calibri" w:eastAsia="仿宋_GB2312" w:cs="Times New Roman"/>
          <w:kern w:val="2"/>
          <w:sz w:val="32"/>
          <w:szCs w:val="32"/>
          <w:highlight w:val="none"/>
          <w:lang w:val="en-US" w:eastAsia="zh-CN" w:bidi="ar-SA"/>
        </w:rPr>
      </w:pPr>
      <w:r>
        <w:rPr>
          <w:rFonts w:hint="eastAsia" w:ascii="黑体" w:hAnsi="黑体" w:eastAsia="黑体" w:cs="黑体"/>
          <w:kern w:val="2"/>
          <w:sz w:val="32"/>
          <w:szCs w:val="32"/>
          <w:highlight w:val="none"/>
          <w:lang w:val="en-US" w:eastAsia="zh-CN" w:bidi="ar-SA"/>
        </w:rPr>
        <w:t>一、项目概况</w:t>
      </w:r>
    </w:p>
    <w:p w14:paraId="1B0B6AD8">
      <w:pPr>
        <w:pStyle w:val="6"/>
        <w:ind w:left="0" w:leftChars="0" w:firstLine="643" w:firstLineChars="200"/>
        <w:rPr>
          <w:rFonts w:hint="eastAsia" w:ascii="仿宋_GB2312" w:hAnsi="Calibri" w:eastAsia="仿宋_GB2312" w:cs="Times New Roman"/>
          <w:kern w:val="2"/>
          <w:sz w:val="32"/>
          <w:szCs w:val="32"/>
          <w:highlight w:val="none"/>
          <w:lang w:val="en-US" w:eastAsia="zh-CN" w:bidi="ar-SA"/>
        </w:rPr>
      </w:pPr>
      <w:r>
        <w:rPr>
          <w:rFonts w:hint="eastAsia" w:ascii="仿宋_GB2312" w:hAnsi="Calibri" w:eastAsia="仿宋_GB2312" w:cs="Times New Roman"/>
          <w:b/>
          <w:bCs/>
          <w:kern w:val="2"/>
          <w:sz w:val="32"/>
          <w:szCs w:val="32"/>
          <w:highlight w:val="none"/>
          <w:lang w:val="en-US" w:eastAsia="zh-CN" w:bidi="ar-SA"/>
        </w:rPr>
        <w:t>项目名称：</w:t>
      </w:r>
      <w:r>
        <w:rPr>
          <w:rFonts w:hint="eastAsia" w:ascii="仿宋_GB2312" w:hAnsi="Calibri" w:eastAsia="仿宋_GB2312" w:cs="Times New Roman"/>
          <w:kern w:val="2"/>
          <w:sz w:val="32"/>
          <w:szCs w:val="32"/>
          <w:highlight w:val="none"/>
          <w:lang w:val="en-US" w:eastAsia="zh-CN" w:bidi="ar-SA"/>
        </w:rPr>
        <w:t>广东省揭阳市空港经济区砲台镇砲台社区等8个社区全域土地综合整治试点</w:t>
      </w:r>
    </w:p>
    <w:p w14:paraId="200E9871">
      <w:pPr>
        <w:pStyle w:val="6"/>
        <w:ind w:left="0" w:leftChars="0" w:firstLine="643" w:firstLineChars="200"/>
        <w:rPr>
          <w:rFonts w:hint="eastAsia" w:ascii="仿宋_GB2312" w:hAnsi="Calibri" w:eastAsia="仿宋_GB2312" w:cs="Times New Roman"/>
          <w:kern w:val="2"/>
          <w:sz w:val="32"/>
          <w:szCs w:val="32"/>
          <w:highlight w:val="none"/>
          <w:lang w:val="en-US" w:eastAsia="zh-CN" w:bidi="ar-SA"/>
        </w:rPr>
      </w:pPr>
      <w:r>
        <w:rPr>
          <w:rFonts w:hint="eastAsia" w:ascii="仿宋_GB2312" w:hAnsi="Calibri" w:eastAsia="仿宋_GB2312" w:cs="Times New Roman"/>
          <w:b/>
          <w:bCs/>
          <w:kern w:val="2"/>
          <w:sz w:val="32"/>
          <w:szCs w:val="32"/>
          <w:highlight w:val="none"/>
          <w:lang w:val="en-US" w:eastAsia="zh-CN" w:bidi="ar-SA"/>
        </w:rPr>
        <w:t>实施范围：</w:t>
      </w:r>
      <w:r>
        <w:rPr>
          <w:rFonts w:hint="eastAsia" w:ascii="仿宋_GB2312" w:hAnsi="Calibri" w:eastAsia="仿宋_GB2312" w:cs="Times New Roman"/>
          <w:kern w:val="2"/>
          <w:sz w:val="32"/>
          <w:szCs w:val="32"/>
          <w:highlight w:val="none"/>
          <w:lang w:val="en-US" w:eastAsia="zh-CN" w:bidi="ar-SA"/>
        </w:rPr>
        <w:t>全域土地综合整治范围为砲台镇砲台社区、丰溪村、埔仔村、塘边村、桃山村、新市村、浮岗村、南潮村8个社区（村），整治区域面积3086.1764公顷。</w:t>
      </w:r>
    </w:p>
    <w:p w14:paraId="06AEDF65">
      <w:pPr>
        <w:pStyle w:val="6"/>
        <w:ind w:left="0" w:leftChars="0" w:firstLine="643" w:firstLineChars="200"/>
        <w:rPr>
          <w:rFonts w:hint="eastAsia" w:ascii="仿宋_GB2312" w:hAnsi="Calibri" w:eastAsia="仿宋_GB2312" w:cs="Times New Roman"/>
          <w:kern w:val="2"/>
          <w:sz w:val="32"/>
          <w:szCs w:val="32"/>
          <w:highlight w:val="none"/>
          <w:lang w:val="en-US" w:eastAsia="zh-CN" w:bidi="ar-SA"/>
        </w:rPr>
      </w:pPr>
      <w:r>
        <w:rPr>
          <w:rFonts w:hint="eastAsia" w:ascii="仿宋_GB2312" w:hAnsi="Calibri" w:eastAsia="仿宋_GB2312" w:cs="Times New Roman"/>
          <w:b/>
          <w:bCs/>
          <w:kern w:val="2"/>
          <w:sz w:val="32"/>
          <w:szCs w:val="32"/>
          <w:highlight w:val="none"/>
          <w:lang w:val="en-US" w:eastAsia="zh-CN" w:bidi="ar-SA"/>
        </w:rPr>
        <w:t>规划期限：</w:t>
      </w:r>
      <w:r>
        <w:rPr>
          <w:rFonts w:hint="eastAsia" w:ascii="仿宋_GB2312" w:hAnsi="Calibri" w:eastAsia="仿宋_GB2312" w:cs="Times New Roman"/>
          <w:kern w:val="2"/>
          <w:sz w:val="32"/>
          <w:szCs w:val="32"/>
          <w:highlight w:val="none"/>
          <w:lang w:val="en-US" w:eastAsia="zh-CN" w:bidi="ar-SA"/>
        </w:rPr>
        <w:t>实施期限为三年，即 2023 年9月至 2026 年9月。</w:t>
      </w:r>
    </w:p>
    <w:p w14:paraId="388F3152">
      <w:pPr>
        <w:pStyle w:val="6"/>
        <w:ind w:left="0" w:leftChars="0" w:firstLine="640" w:firstLineChars="200"/>
        <w:rPr>
          <w:rFonts w:hint="eastAsia" w:ascii="仿宋_GB2312" w:hAnsi="Calibri" w:eastAsia="仿宋_GB2312" w:cs="Times New Roman"/>
          <w:kern w:val="2"/>
          <w:sz w:val="32"/>
          <w:szCs w:val="32"/>
          <w:highlight w:val="none"/>
          <w:lang w:val="en-US" w:eastAsia="zh-CN" w:bidi="ar-SA"/>
        </w:rPr>
      </w:pPr>
      <w:r>
        <w:rPr>
          <w:rFonts w:hint="eastAsia" w:ascii="黑体" w:hAnsi="黑体" w:eastAsia="黑体" w:cs="黑体"/>
          <w:kern w:val="2"/>
          <w:sz w:val="32"/>
          <w:szCs w:val="32"/>
          <w:highlight w:val="none"/>
          <w:lang w:val="en-US" w:eastAsia="zh-CN" w:bidi="ar-SA"/>
        </w:rPr>
        <w:t>二、整治目标</w:t>
      </w:r>
    </w:p>
    <w:p w14:paraId="528726C3">
      <w:pPr>
        <w:pStyle w:val="6"/>
        <w:ind w:left="0" w:leftChars="0" w:firstLine="640" w:firstLineChars="200"/>
        <w:rPr>
          <w:rFonts w:hint="eastAsia" w:ascii="仿宋_GB2312" w:hAnsi="Calibri" w:eastAsia="仿宋_GB2312" w:cs="Times New Roman"/>
          <w:kern w:val="2"/>
          <w:sz w:val="32"/>
          <w:szCs w:val="32"/>
          <w:highlight w:val="none"/>
          <w:lang w:val="en-US" w:eastAsia="zh-CN" w:bidi="ar-SA"/>
        </w:rPr>
      </w:pPr>
      <w:r>
        <w:rPr>
          <w:rFonts w:hint="eastAsia" w:ascii="仿宋_GB2312" w:hAnsi="Calibri" w:eastAsia="仿宋_GB2312" w:cs="Times New Roman"/>
          <w:kern w:val="2"/>
          <w:sz w:val="32"/>
          <w:szCs w:val="32"/>
          <w:highlight w:val="none"/>
          <w:lang w:val="en-US" w:eastAsia="zh-CN" w:bidi="ar-SA"/>
        </w:rPr>
        <w:t>通过试点方案调整落实，针对规划中明确的全域整治空间布局与功能分区优化方向，开展农用地整理、建设用地整理、乡村生态保护修复、乡村风貌提升。牢牢把握高质量加快构建“一核一带一区”区域发展格局带来的新机遇，自觉从全省大局、从汕潮揭都市圈整体出发，聚焦高质量发展，进一步优化城市、产业、交通布局，在新时代助力“潮汕揭”一体化融合发展，改善村居环境，共建人水和谐的社会环境，美化乡村人居环境，改善社区微气候，提升社区的环境品质，增加居民活动休憩空间，开展乡村生态保护修复工作。通过活化与利用传统古村落、历史建筑、传统民居等潜力较大的历史建筑，开展乡村风貌提升工作，协调乡村整体环境风格，整体提升区域的基础风貌环境。通过“整农地、治乡水、强交通、布产业、优环境”的修复整治策略，为揭阳融入“一核一带一区”区域发展格局贡献砲台力量。</w:t>
      </w:r>
    </w:p>
    <w:p w14:paraId="263ABC53">
      <w:pPr>
        <w:pStyle w:val="6"/>
        <w:ind w:left="0" w:leftChars="0" w:firstLine="640" w:firstLineChars="200"/>
        <w:rPr>
          <w:rFonts w:hint="eastAsia" w:ascii="仿宋_GB2312" w:hAnsi="Calibri" w:eastAsia="仿宋_GB2312" w:cs="Times New Roman"/>
          <w:kern w:val="2"/>
          <w:sz w:val="32"/>
          <w:szCs w:val="32"/>
          <w:highlight w:val="none"/>
          <w:lang w:val="en-US" w:eastAsia="zh-CN" w:bidi="ar-SA"/>
        </w:rPr>
      </w:pPr>
      <w:r>
        <w:rPr>
          <w:rFonts w:hint="eastAsia" w:ascii="黑体" w:hAnsi="黑体" w:eastAsia="黑体" w:cs="黑体"/>
          <w:kern w:val="2"/>
          <w:sz w:val="32"/>
          <w:szCs w:val="32"/>
          <w:highlight w:val="none"/>
          <w:lang w:val="en-US" w:eastAsia="zh-CN" w:bidi="ar-SA"/>
        </w:rPr>
        <w:t>三、工作内容</w:t>
      </w:r>
    </w:p>
    <w:p w14:paraId="611D7228">
      <w:pPr>
        <w:kinsoku/>
        <w:topLinePunct/>
        <w:autoSpaceDE/>
        <w:autoSpaceDN/>
        <w:spacing w:line="360" w:lineRule="auto"/>
        <w:ind w:firstLine="640" w:firstLineChars="200"/>
        <w:jc w:val="both"/>
        <w:rPr>
          <w:rFonts w:hint="eastAsia" w:ascii="仿宋_GB2312" w:hAnsi="Calibri" w:eastAsia="仿宋_GB2312" w:cs="Times New Roman"/>
          <w:kern w:val="2"/>
          <w:sz w:val="32"/>
          <w:szCs w:val="32"/>
          <w:highlight w:val="none"/>
          <w:lang w:val="en-US" w:eastAsia="zh-CN" w:bidi="ar-SA"/>
        </w:rPr>
      </w:pPr>
      <w:r>
        <w:rPr>
          <w:rFonts w:hint="eastAsia" w:ascii="仿宋_GB2312" w:hAnsi="Calibri" w:eastAsia="仿宋_GB2312" w:cs="Times New Roman"/>
          <w:kern w:val="2"/>
          <w:sz w:val="32"/>
          <w:szCs w:val="32"/>
          <w:highlight w:val="none"/>
          <w:lang w:val="en-US" w:eastAsia="zh-CN" w:bidi="ar-SA"/>
        </w:rPr>
        <w:t>以农用地整理为整治手段，推进宜耕后备资源开发、垦造水田等工程项目，重点整治质量等别低、荒废时间久的农地，为实现农业集约化规模化经营奠定坚实的基础。</w:t>
      </w:r>
    </w:p>
    <w:p w14:paraId="0D08E313">
      <w:pPr>
        <w:kinsoku/>
        <w:topLinePunct/>
        <w:autoSpaceDE/>
        <w:autoSpaceDN/>
        <w:spacing w:line="360" w:lineRule="auto"/>
        <w:ind w:firstLine="640" w:firstLineChars="200"/>
        <w:jc w:val="both"/>
        <w:rPr>
          <w:rFonts w:hint="eastAsia" w:ascii="仿宋_GB2312" w:hAnsi="Calibri" w:eastAsia="仿宋_GB2312" w:cs="Times New Roman"/>
          <w:kern w:val="2"/>
          <w:sz w:val="32"/>
          <w:szCs w:val="32"/>
          <w:highlight w:val="none"/>
          <w:lang w:val="en-US" w:eastAsia="zh-CN" w:bidi="ar-SA"/>
        </w:rPr>
      </w:pPr>
      <w:r>
        <w:rPr>
          <w:rFonts w:hint="eastAsia" w:ascii="仿宋_GB2312" w:hAnsi="Calibri" w:eastAsia="仿宋_GB2312" w:cs="Times New Roman"/>
          <w:kern w:val="2"/>
          <w:sz w:val="32"/>
          <w:szCs w:val="32"/>
          <w:highlight w:val="none"/>
          <w:lang w:val="en-US" w:eastAsia="zh-CN" w:bidi="ar-SA"/>
        </w:rPr>
        <w:t>对河道开展生态治理，通过污染基底修复、生态净化、水质净化等生态修复手段，修复河道生态本底；开展人居环境整治项目，整治建筑材料等杂物乱堆乱放的现象。</w:t>
      </w:r>
    </w:p>
    <w:p w14:paraId="25464077">
      <w:pPr>
        <w:kinsoku/>
        <w:topLinePunct/>
        <w:autoSpaceDE/>
        <w:autoSpaceDN/>
        <w:spacing w:line="360" w:lineRule="auto"/>
        <w:ind w:firstLine="640" w:firstLineChars="200"/>
        <w:jc w:val="both"/>
        <w:rPr>
          <w:rFonts w:hint="eastAsia" w:ascii="仿宋_GB2312" w:hAnsi="Calibri" w:eastAsia="仿宋_GB2312" w:cs="Times New Roman"/>
          <w:kern w:val="2"/>
          <w:sz w:val="32"/>
          <w:szCs w:val="32"/>
          <w:highlight w:val="none"/>
          <w:lang w:val="en-US" w:eastAsia="zh-CN" w:bidi="ar-SA"/>
        </w:rPr>
      </w:pPr>
      <w:r>
        <w:rPr>
          <w:rFonts w:hint="eastAsia" w:ascii="仿宋_GB2312" w:hAnsi="Calibri" w:eastAsia="仿宋_GB2312" w:cs="Times New Roman"/>
          <w:kern w:val="2"/>
          <w:sz w:val="32"/>
          <w:szCs w:val="32"/>
          <w:highlight w:val="none"/>
          <w:lang w:val="en-US" w:eastAsia="zh-CN" w:bidi="ar-SA"/>
        </w:rPr>
        <w:t>完善道路配套设施，路灯、绿化、交通标志牌等附属设施。建设农贸市场，整治占道摆摊现象，提升村容环境和形象品质。通过对湿地公园海岸线进行生态修复，增加绿地空间，使破碎化严重、功能退化的岸线集中连片，恢复成原有的自然生态属性。</w:t>
      </w:r>
    </w:p>
    <w:p w14:paraId="58126D6F">
      <w:pPr>
        <w:kinsoku/>
        <w:topLinePunct/>
        <w:autoSpaceDE/>
        <w:autoSpaceDN/>
        <w:spacing w:line="360" w:lineRule="auto"/>
        <w:ind w:firstLine="640" w:firstLineChars="200"/>
        <w:jc w:val="both"/>
        <w:rPr>
          <w:rFonts w:hint="eastAsia" w:ascii="仿宋_GB2312" w:hAnsi="Calibri" w:eastAsia="仿宋_GB2312" w:cs="Times New Roman"/>
          <w:kern w:val="2"/>
          <w:sz w:val="32"/>
          <w:szCs w:val="32"/>
          <w:highlight w:val="none"/>
          <w:lang w:val="en-US" w:eastAsia="zh-CN" w:bidi="ar-SA"/>
        </w:rPr>
      </w:pPr>
      <w:r>
        <w:rPr>
          <w:rFonts w:hint="eastAsia" w:ascii="仿宋_GB2312" w:hAnsi="Calibri" w:eastAsia="仿宋_GB2312" w:cs="Times New Roman"/>
          <w:kern w:val="2"/>
          <w:sz w:val="32"/>
          <w:szCs w:val="32"/>
          <w:highlight w:val="none"/>
          <w:lang w:val="en-US" w:eastAsia="zh-CN" w:bidi="ar-SA"/>
        </w:rPr>
        <w:t>1、响应乡村振兴战略实施的工作部署，带动美丽乡村建设</w:t>
      </w:r>
    </w:p>
    <w:p w14:paraId="0DC12E13">
      <w:pPr>
        <w:kinsoku/>
        <w:topLinePunct/>
        <w:autoSpaceDE/>
        <w:autoSpaceDN/>
        <w:spacing w:line="360" w:lineRule="auto"/>
        <w:ind w:firstLine="640" w:firstLineChars="200"/>
        <w:jc w:val="both"/>
        <w:rPr>
          <w:rFonts w:hint="eastAsia" w:ascii="仿宋_GB2312" w:hAnsi="Calibri" w:eastAsia="仿宋_GB2312" w:cs="Times New Roman"/>
          <w:kern w:val="2"/>
          <w:sz w:val="32"/>
          <w:szCs w:val="32"/>
          <w:highlight w:val="none"/>
          <w:lang w:val="en-US" w:eastAsia="zh-CN" w:bidi="ar-SA"/>
        </w:rPr>
      </w:pPr>
      <w:r>
        <w:rPr>
          <w:rFonts w:hint="eastAsia" w:ascii="仿宋_GB2312" w:hAnsi="Calibri" w:eastAsia="仿宋_GB2312" w:cs="Times New Roman"/>
          <w:kern w:val="2"/>
          <w:sz w:val="32"/>
          <w:szCs w:val="32"/>
          <w:highlight w:val="none"/>
          <w:lang w:val="en-US" w:eastAsia="zh-CN" w:bidi="ar-SA"/>
        </w:rPr>
        <w:t>通过编制实施方案，对砲台镇砲台社区等8个社区（村）进行全域土地资源规划与统筹，以生态环境保护为优先，提出针对性修复方案。响应中央一号文在乡村振兴战略实施的工作部署，重点聚焦乡村发展，以高品质发展助力乡村振兴，改善人居环境，形成系统的保护与发展的工作方案和实施计划。</w:t>
      </w:r>
    </w:p>
    <w:p w14:paraId="77248BE7">
      <w:pPr>
        <w:kinsoku/>
        <w:topLinePunct/>
        <w:autoSpaceDE/>
        <w:autoSpaceDN/>
        <w:spacing w:line="360" w:lineRule="auto"/>
        <w:ind w:firstLine="640" w:firstLineChars="200"/>
        <w:jc w:val="both"/>
        <w:rPr>
          <w:rFonts w:hint="eastAsia" w:ascii="仿宋_GB2312" w:hAnsi="Calibri" w:eastAsia="仿宋_GB2312" w:cs="Times New Roman"/>
          <w:kern w:val="2"/>
          <w:sz w:val="32"/>
          <w:szCs w:val="32"/>
          <w:highlight w:val="none"/>
          <w:lang w:val="en-US" w:eastAsia="zh-CN" w:bidi="ar-SA"/>
        </w:rPr>
      </w:pPr>
      <w:r>
        <w:rPr>
          <w:rFonts w:hint="eastAsia" w:ascii="仿宋_GB2312" w:hAnsi="Calibri" w:eastAsia="仿宋_GB2312" w:cs="Times New Roman"/>
          <w:kern w:val="2"/>
          <w:sz w:val="32"/>
          <w:szCs w:val="32"/>
          <w:highlight w:val="none"/>
          <w:lang w:val="en-US" w:eastAsia="zh-CN" w:bidi="ar-SA"/>
        </w:rPr>
        <w:t>2、优化用地布局，促进产业升级，助力“一核一带一区”建设</w:t>
      </w:r>
    </w:p>
    <w:p w14:paraId="1B8B085D">
      <w:pPr>
        <w:kinsoku/>
        <w:topLinePunct/>
        <w:autoSpaceDE/>
        <w:autoSpaceDN/>
        <w:spacing w:line="360" w:lineRule="auto"/>
        <w:ind w:firstLine="640" w:firstLineChars="200"/>
        <w:jc w:val="both"/>
        <w:rPr>
          <w:rFonts w:hint="eastAsia" w:ascii="仿宋_GB2312" w:hAnsi="Calibri" w:eastAsia="仿宋_GB2312" w:cs="Times New Roman"/>
          <w:kern w:val="2"/>
          <w:sz w:val="32"/>
          <w:szCs w:val="32"/>
          <w:highlight w:val="none"/>
          <w:lang w:val="en-US" w:eastAsia="zh-CN" w:bidi="ar-SA"/>
        </w:rPr>
      </w:pPr>
      <w:r>
        <w:rPr>
          <w:rFonts w:hint="eastAsia" w:ascii="仿宋_GB2312" w:hAnsi="Calibri" w:eastAsia="仿宋_GB2312" w:cs="Times New Roman"/>
          <w:kern w:val="2"/>
          <w:sz w:val="32"/>
          <w:szCs w:val="32"/>
          <w:highlight w:val="none"/>
          <w:lang w:val="en-US" w:eastAsia="zh-CN" w:bidi="ar-SA"/>
        </w:rPr>
        <w:t>牢牢把握高质量加快构建“一核一带一区”区域发展格局带来的新机遇，自觉从全省大局、从汕潮揭都市圈整体出发，聚焦高质量发展，进一步优化城市、产业、交通布局，在新时代助力“潮汕揭”一体化融合发展，为揭阳融入“一核一带一区”区域发展格局贡献砲台力量。</w:t>
      </w:r>
    </w:p>
    <w:p w14:paraId="2D0CB496">
      <w:pPr>
        <w:kinsoku/>
        <w:topLinePunct/>
        <w:autoSpaceDE/>
        <w:autoSpaceDN/>
        <w:spacing w:line="360" w:lineRule="auto"/>
        <w:ind w:firstLine="640" w:firstLineChars="200"/>
        <w:jc w:val="both"/>
        <w:rPr>
          <w:rFonts w:hint="eastAsia" w:ascii="仿宋_GB2312" w:hAnsi="Calibri" w:eastAsia="仿宋_GB2312" w:cs="Times New Roman"/>
          <w:kern w:val="2"/>
          <w:sz w:val="32"/>
          <w:szCs w:val="32"/>
          <w:highlight w:val="none"/>
          <w:lang w:val="en-US" w:eastAsia="zh-CN" w:bidi="ar-SA"/>
        </w:rPr>
      </w:pPr>
      <w:r>
        <w:rPr>
          <w:rFonts w:hint="eastAsia" w:ascii="仿宋_GB2312" w:hAnsi="Calibri" w:eastAsia="仿宋_GB2312" w:cs="Times New Roman"/>
          <w:kern w:val="2"/>
          <w:sz w:val="32"/>
          <w:szCs w:val="32"/>
          <w:highlight w:val="none"/>
          <w:lang w:val="en-US" w:eastAsia="zh-CN" w:bidi="ar-SA"/>
        </w:rPr>
        <w:t>全域整治以“农用地整理+”方式，在满足政策文件要求的“双5%”的前提下，促使耕地集中连片，耕地质量数量双提升，调整用地结构，优化空间布局，为未来城镇化发展及产业升级提供用地保障；通过“交通+”等手段，改善交通条件，强力实施乡村振兴战略，充分发挥交通基础设施的先导性、基础性作用。</w:t>
      </w:r>
    </w:p>
    <w:p w14:paraId="4B4253EF">
      <w:pPr>
        <w:kinsoku/>
        <w:topLinePunct/>
        <w:autoSpaceDE/>
        <w:autoSpaceDN/>
        <w:spacing w:line="360" w:lineRule="auto"/>
        <w:ind w:firstLine="640" w:firstLineChars="200"/>
        <w:jc w:val="both"/>
        <w:rPr>
          <w:rFonts w:hint="eastAsia" w:ascii="仿宋_GB2312" w:hAnsi="Calibri" w:eastAsia="仿宋_GB2312" w:cs="Times New Roman"/>
          <w:kern w:val="2"/>
          <w:sz w:val="32"/>
          <w:szCs w:val="32"/>
          <w:highlight w:val="none"/>
          <w:lang w:val="en-US" w:eastAsia="zh-CN" w:bidi="ar-SA"/>
        </w:rPr>
      </w:pPr>
      <w:r>
        <w:rPr>
          <w:rFonts w:hint="eastAsia" w:ascii="仿宋_GB2312" w:hAnsi="Calibri" w:eastAsia="仿宋_GB2312" w:cs="Times New Roman"/>
          <w:kern w:val="2"/>
          <w:sz w:val="32"/>
          <w:szCs w:val="32"/>
          <w:highlight w:val="none"/>
          <w:lang w:val="en-US" w:eastAsia="zh-CN" w:bidi="ar-SA"/>
        </w:rPr>
        <w:t>3、促进流域生态修复，提升粤东水系连通工程生态效益</w:t>
      </w:r>
    </w:p>
    <w:p w14:paraId="3CC46832">
      <w:pPr>
        <w:kinsoku/>
        <w:topLinePunct/>
        <w:autoSpaceDE/>
        <w:autoSpaceDN/>
        <w:spacing w:line="360" w:lineRule="auto"/>
        <w:ind w:firstLine="640" w:firstLineChars="200"/>
        <w:jc w:val="both"/>
        <w:rPr>
          <w:rFonts w:hint="eastAsia" w:ascii="仿宋_GB2312" w:hAnsi="Calibri" w:eastAsia="仿宋_GB2312" w:cs="Times New Roman"/>
          <w:kern w:val="2"/>
          <w:sz w:val="32"/>
          <w:szCs w:val="32"/>
          <w:highlight w:val="none"/>
          <w:lang w:val="en-US" w:eastAsia="zh-CN" w:bidi="ar-SA"/>
        </w:rPr>
      </w:pPr>
      <w:r>
        <w:rPr>
          <w:rFonts w:hint="eastAsia" w:ascii="仿宋_GB2312" w:hAnsi="Calibri" w:eastAsia="仿宋_GB2312" w:cs="Times New Roman"/>
          <w:kern w:val="2"/>
          <w:sz w:val="32"/>
          <w:szCs w:val="32"/>
          <w:highlight w:val="none"/>
          <w:lang w:val="en-US" w:eastAsia="zh-CN" w:bidi="ar-SA"/>
        </w:rPr>
        <w:t>通过揭阳空港经济区砲台镇南潮村湿地公园海岸线生态修复项目构建生态廊道，采取清淤疏浚、水系连通、岸坡整治等措施，提升区域生态环境承载能力，推进榕江、枫江水环境系统共治，创建潮汕地区水美乡村，加强环境治理和生态保护，助力粤东水环境生态质量改善及经济社会健康发展。</w:t>
      </w:r>
    </w:p>
    <w:p w14:paraId="3AEDBDED">
      <w:pPr>
        <w:kinsoku/>
        <w:topLinePunct/>
        <w:autoSpaceDE/>
        <w:autoSpaceDN/>
        <w:spacing w:line="360" w:lineRule="auto"/>
        <w:ind w:firstLine="640" w:firstLineChars="200"/>
        <w:jc w:val="both"/>
        <w:rPr>
          <w:rFonts w:hint="eastAsia" w:ascii="仿宋_GB2312" w:hAnsi="Calibri" w:eastAsia="仿宋_GB2312" w:cs="Times New Roman"/>
          <w:kern w:val="2"/>
          <w:sz w:val="32"/>
          <w:szCs w:val="32"/>
          <w:highlight w:val="none"/>
          <w:lang w:val="en-US" w:eastAsia="zh-CN" w:bidi="ar-SA"/>
        </w:rPr>
      </w:pPr>
      <w:r>
        <w:rPr>
          <w:rFonts w:hint="eastAsia" w:ascii="仿宋_GB2312" w:hAnsi="Calibri" w:eastAsia="仿宋_GB2312" w:cs="Times New Roman"/>
          <w:kern w:val="2"/>
          <w:sz w:val="32"/>
          <w:szCs w:val="32"/>
          <w:highlight w:val="none"/>
          <w:lang w:val="en-US" w:eastAsia="zh-CN" w:bidi="ar-SA"/>
        </w:rPr>
        <w:t>4、探索修复与整治模式，为试点推广提供参考经验</w:t>
      </w:r>
    </w:p>
    <w:p w14:paraId="56EE0455">
      <w:pPr>
        <w:kinsoku/>
        <w:topLinePunct/>
        <w:autoSpaceDE/>
        <w:autoSpaceDN/>
        <w:spacing w:line="360" w:lineRule="auto"/>
        <w:ind w:firstLine="640" w:firstLineChars="200"/>
        <w:jc w:val="both"/>
        <w:rPr>
          <w:rFonts w:hint="eastAsia" w:ascii="仿宋_GB2312" w:hAnsi="Calibri" w:eastAsia="仿宋_GB2312" w:cs="Times New Roman"/>
          <w:kern w:val="2"/>
          <w:sz w:val="32"/>
          <w:szCs w:val="32"/>
          <w:highlight w:val="none"/>
          <w:lang w:val="en-US" w:eastAsia="zh-CN" w:bidi="ar-SA"/>
        </w:rPr>
      </w:pPr>
      <w:r>
        <w:rPr>
          <w:rFonts w:hint="eastAsia" w:ascii="仿宋_GB2312" w:hAnsi="Calibri" w:eastAsia="仿宋_GB2312" w:cs="Times New Roman"/>
          <w:kern w:val="2"/>
          <w:sz w:val="32"/>
          <w:szCs w:val="32"/>
          <w:highlight w:val="none"/>
          <w:lang w:val="en-US" w:eastAsia="zh-CN" w:bidi="ar-SA"/>
        </w:rPr>
        <w:t>通过实施方案的编制，梳理现状问题，确定整治目标，制定“整农地、治乡水、强交通、布产业、优环境”的修复整治策略，为潮汕乡村地区全域土地综合整治提供先行示范和参考。</w:t>
      </w:r>
    </w:p>
    <w:p w14:paraId="5E5073D4">
      <w:pPr>
        <w:kinsoku/>
        <w:topLinePunct/>
        <w:autoSpaceDE/>
        <w:autoSpaceDN/>
        <w:spacing w:line="360" w:lineRule="auto"/>
        <w:ind w:firstLine="640" w:firstLineChars="200"/>
        <w:jc w:val="both"/>
        <w:rPr>
          <w:rFonts w:hint="eastAsia" w:ascii="仿宋_GB2312" w:hAnsi="Calibri" w:eastAsia="仿宋_GB2312" w:cs="Times New Roman"/>
          <w:kern w:val="2"/>
          <w:sz w:val="32"/>
          <w:szCs w:val="32"/>
          <w:highlight w:val="none"/>
          <w:lang w:val="en-US" w:eastAsia="zh-CN" w:bidi="ar-SA"/>
        </w:rPr>
      </w:pPr>
      <w:r>
        <w:rPr>
          <w:rFonts w:hint="eastAsia" w:ascii="仿宋_GB2312" w:hAnsi="Calibri" w:eastAsia="仿宋_GB2312" w:cs="Times New Roman"/>
          <w:kern w:val="2"/>
          <w:sz w:val="32"/>
          <w:szCs w:val="32"/>
          <w:highlight w:val="none"/>
          <w:lang w:val="en-US" w:eastAsia="zh-CN" w:bidi="ar-SA"/>
        </w:rPr>
        <w:t>以“保护优先、控制底线”、“规划引领、集约利用”、“政府主导、尊重民意”、“因地制宜、有序推进”为基本原则，统筹全域生态保护和经济发展为目标，探索全域土地综合整治新模式为导向，经多次内业筛选和外业调研，结合镇社的发展诉求、民众意愿进行项目的设置和安排，整治区域共安排7个子项目，总体安排如下：</w:t>
      </w:r>
    </w:p>
    <w:p w14:paraId="43A266DC">
      <w:pPr>
        <w:pStyle w:val="11"/>
        <w:kinsoku/>
        <w:topLinePunct/>
        <w:autoSpaceDE/>
        <w:autoSpaceDN/>
        <w:ind w:firstLine="482"/>
        <w:rPr>
          <w:rFonts w:ascii="Times New Roman" w:hAnsi="Times New Roman" w:eastAsia="仿宋" w:cs="Times New Roman"/>
          <w:b/>
          <w:bCs/>
          <w:color w:val="auto"/>
          <w:sz w:val="24"/>
          <w:szCs w:val="24"/>
        </w:rPr>
      </w:pPr>
      <w:r>
        <w:rPr>
          <w:rFonts w:ascii="Times New Roman" w:hAnsi="Times New Roman" w:eastAsia="仿宋" w:cs="Times New Roman"/>
          <w:b/>
          <w:bCs/>
          <w:color w:val="auto"/>
          <w:sz w:val="24"/>
          <w:szCs w:val="24"/>
        </w:rPr>
        <w:t>表5-1</w:t>
      </w:r>
      <w:r>
        <w:rPr>
          <w:rFonts w:hint="eastAsia" w:ascii="Times New Roman" w:hAnsi="Times New Roman" w:eastAsia="仿宋" w:cs="Times New Roman"/>
          <w:b/>
          <w:bCs/>
          <w:color w:val="auto"/>
          <w:sz w:val="24"/>
          <w:szCs w:val="24"/>
        </w:rPr>
        <w:t xml:space="preserve"> </w:t>
      </w:r>
      <w:r>
        <w:rPr>
          <w:rFonts w:ascii="Times New Roman" w:hAnsi="Times New Roman" w:eastAsia="仿宋" w:cs="Times New Roman"/>
          <w:b/>
          <w:bCs/>
          <w:color w:val="auto"/>
          <w:sz w:val="24"/>
          <w:szCs w:val="24"/>
        </w:rPr>
        <w:t>项目汇总表</w:t>
      </w:r>
    </w:p>
    <w:tbl>
      <w:tblPr>
        <w:tblStyle w:val="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7"/>
        <w:gridCol w:w="787"/>
        <w:gridCol w:w="1890"/>
        <w:gridCol w:w="1598"/>
        <w:gridCol w:w="1426"/>
        <w:gridCol w:w="1802"/>
      </w:tblGrid>
      <w:tr w14:paraId="1E936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600" w:hRule="atLeast"/>
          <w:tblHeader/>
        </w:trPr>
        <w:tc>
          <w:tcPr>
            <w:tcW w:w="2368" w:type="pct"/>
            <w:gridSpan w:val="3"/>
            <w:shd w:val="clear" w:color="auto" w:fill="auto"/>
            <w:vAlign w:val="center"/>
          </w:tcPr>
          <w:p w14:paraId="41885552">
            <w:pPr>
              <w:pStyle w:val="11"/>
              <w:kinsoku/>
              <w:topLinePunct/>
              <w:autoSpaceDE/>
              <w:autoSpaceDN/>
              <w:rPr>
                <w:rFonts w:ascii="Times New Roman" w:hAnsi="Times New Roman" w:eastAsia="仿宋" w:cs="Times New Roman"/>
                <w:b/>
                <w:bCs/>
                <w:color w:val="auto"/>
                <w:sz w:val="24"/>
                <w:szCs w:val="24"/>
              </w:rPr>
            </w:pPr>
            <w:r>
              <w:rPr>
                <w:rFonts w:ascii="Times New Roman" w:hAnsi="Times New Roman" w:eastAsia="仿宋" w:cs="Times New Roman"/>
                <w:b/>
                <w:bCs/>
                <w:color w:val="auto"/>
                <w:sz w:val="24"/>
                <w:szCs w:val="24"/>
              </w:rPr>
              <w:t>项目类型</w:t>
            </w:r>
          </w:p>
        </w:tc>
        <w:tc>
          <w:tcPr>
            <w:tcW w:w="871" w:type="pct"/>
            <w:shd w:val="clear" w:color="auto" w:fill="auto"/>
            <w:vAlign w:val="center"/>
          </w:tcPr>
          <w:p w14:paraId="4E8A6B5D">
            <w:pPr>
              <w:pStyle w:val="11"/>
              <w:kinsoku/>
              <w:topLinePunct/>
              <w:autoSpaceDE/>
              <w:autoSpaceDN/>
              <w:rPr>
                <w:rFonts w:ascii="Times New Roman" w:hAnsi="Times New Roman" w:eastAsia="仿宋" w:cs="Times New Roman"/>
                <w:b/>
                <w:bCs/>
                <w:color w:val="auto"/>
                <w:sz w:val="24"/>
                <w:szCs w:val="24"/>
              </w:rPr>
            </w:pPr>
            <w:r>
              <w:rPr>
                <w:rFonts w:ascii="Times New Roman" w:hAnsi="Times New Roman" w:eastAsia="仿宋" w:cs="Times New Roman"/>
                <w:b/>
                <w:bCs/>
                <w:color w:val="auto"/>
                <w:sz w:val="24"/>
                <w:szCs w:val="24"/>
              </w:rPr>
              <w:t>项目名称</w:t>
            </w:r>
          </w:p>
        </w:tc>
        <w:tc>
          <w:tcPr>
            <w:tcW w:w="776" w:type="pct"/>
            <w:shd w:val="clear" w:color="auto" w:fill="auto"/>
            <w:vAlign w:val="center"/>
          </w:tcPr>
          <w:p w14:paraId="1D8E6F6B">
            <w:pPr>
              <w:pStyle w:val="11"/>
              <w:kinsoku/>
              <w:topLinePunct/>
              <w:autoSpaceDE/>
              <w:autoSpaceDN/>
              <w:rPr>
                <w:rFonts w:ascii="Times New Roman" w:hAnsi="Times New Roman" w:eastAsia="仿宋" w:cs="Times New Roman"/>
                <w:b/>
                <w:bCs/>
                <w:color w:val="auto"/>
                <w:sz w:val="24"/>
                <w:szCs w:val="24"/>
              </w:rPr>
            </w:pPr>
            <w:r>
              <w:rPr>
                <w:rFonts w:ascii="Times New Roman" w:hAnsi="Times New Roman" w:eastAsia="仿宋" w:cs="Times New Roman"/>
                <w:b/>
                <w:bCs/>
                <w:color w:val="auto"/>
                <w:sz w:val="24"/>
                <w:szCs w:val="24"/>
              </w:rPr>
              <w:t>位置</w:t>
            </w:r>
          </w:p>
        </w:tc>
        <w:tc>
          <w:tcPr>
            <w:tcW w:w="982" w:type="pct"/>
            <w:shd w:val="clear" w:color="auto" w:fill="auto"/>
            <w:vAlign w:val="center"/>
          </w:tcPr>
          <w:p w14:paraId="2D8793E8">
            <w:pPr>
              <w:pStyle w:val="11"/>
              <w:kinsoku/>
              <w:topLinePunct/>
              <w:autoSpaceDE/>
              <w:autoSpaceDN/>
              <w:rPr>
                <w:rFonts w:ascii="Times New Roman" w:hAnsi="Times New Roman" w:eastAsia="仿宋" w:cs="Times New Roman"/>
                <w:b/>
                <w:bCs/>
                <w:color w:val="auto"/>
                <w:sz w:val="24"/>
                <w:szCs w:val="24"/>
              </w:rPr>
            </w:pPr>
            <w:r>
              <w:rPr>
                <w:rFonts w:ascii="Times New Roman" w:hAnsi="Times New Roman" w:eastAsia="仿宋" w:cs="Times New Roman"/>
                <w:b/>
                <w:bCs/>
                <w:color w:val="auto"/>
                <w:sz w:val="24"/>
                <w:szCs w:val="24"/>
              </w:rPr>
              <w:t>建设规模（公顷）</w:t>
            </w:r>
          </w:p>
        </w:tc>
      </w:tr>
      <w:tr w14:paraId="79C7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1796" w:hRule="atLeast"/>
        </w:trPr>
        <w:tc>
          <w:tcPr>
            <w:tcW w:w="909" w:type="pct"/>
            <w:vMerge w:val="restart"/>
            <w:shd w:val="clear" w:color="auto" w:fill="auto"/>
            <w:vAlign w:val="center"/>
          </w:tcPr>
          <w:p w14:paraId="051BEE28">
            <w:pPr>
              <w:pStyle w:val="11"/>
              <w:kinsoku/>
              <w:topLinePunct/>
              <w:autoSpaceDE/>
              <w:autoSpaceDN/>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农用地整理项目</w:t>
            </w:r>
          </w:p>
        </w:tc>
        <w:tc>
          <w:tcPr>
            <w:tcW w:w="429" w:type="pct"/>
            <w:vMerge w:val="restart"/>
            <w:shd w:val="clear" w:color="auto" w:fill="auto"/>
            <w:vAlign w:val="center"/>
          </w:tcPr>
          <w:p w14:paraId="3FC56ECB">
            <w:pPr>
              <w:pStyle w:val="11"/>
              <w:kinsoku/>
              <w:topLinePunct/>
              <w:autoSpaceDE/>
              <w:autoSpaceDN/>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w:t>
            </w:r>
          </w:p>
        </w:tc>
        <w:tc>
          <w:tcPr>
            <w:tcW w:w="1029" w:type="pct"/>
            <w:vMerge w:val="restart"/>
            <w:shd w:val="clear" w:color="auto" w:fill="auto"/>
            <w:vAlign w:val="center"/>
          </w:tcPr>
          <w:p w14:paraId="6190F343">
            <w:pPr>
              <w:pStyle w:val="11"/>
              <w:kinsoku/>
              <w:topLinePunct/>
              <w:autoSpaceDE/>
              <w:autoSpaceDN/>
              <w:rPr>
                <w:rFonts w:ascii="Times New Roman" w:hAnsi="Times New Roman" w:eastAsia="仿宋" w:cs="Times New Roman"/>
                <w:color w:val="auto"/>
                <w:sz w:val="24"/>
                <w:szCs w:val="24"/>
              </w:rPr>
            </w:pPr>
            <w:bookmarkStart w:id="0" w:name="_GoBack"/>
            <w:bookmarkEnd w:id="0"/>
            <w:r>
              <w:rPr>
                <w:rFonts w:ascii="Times New Roman" w:hAnsi="Times New Roman" w:eastAsia="仿宋" w:cs="Times New Roman"/>
                <w:color w:val="auto"/>
                <w:sz w:val="24"/>
                <w:szCs w:val="24"/>
              </w:rPr>
              <w:t>垦造水田</w:t>
            </w:r>
          </w:p>
        </w:tc>
        <w:tc>
          <w:tcPr>
            <w:tcW w:w="871" w:type="pct"/>
            <w:shd w:val="clear" w:color="auto" w:fill="auto"/>
            <w:vAlign w:val="center"/>
          </w:tcPr>
          <w:p w14:paraId="68F65CA2">
            <w:pPr>
              <w:pStyle w:val="11"/>
              <w:kinsoku/>
              <w:topLinePunct/>
              <w:autoSpaceDE/>
              <w:autoSpaceDN/>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rPr>
              <w:t>2021年度揭阳市空港经济区砲台镇浮岗村等</w:t>
            </w:r>
            <w:r>
              <w:rPr>
                <w:rFonts w:hint="eastAsia" w:ascii="Times New Roman" w:hAnsi="Times New Roman" w:eastAsia="仿宋" w:cs="Times New Roman"/>
                <w:color w:val="auto"/>
                <w:sz w:val="24"/>
                <w:szCs w:val="24"/>
                <w:lang w:val="en-US" w:eastAsia="zh-CN"/>
              </w:rPr>
              <w:t>2</w:t>
            </w:r>
            <w:r>
              <w:rPr>
                <w:rFonts w:hint="eastAsia" w:ascii="Times New Roman" w:hAnsi="Times New Roman" w:eastAsia="仿宋" w:cs="Times New Roman"/>
                <w:color w:val="auto"/>
                <w:sz w:val="24"/>
                <w:szCs w:val="24"/>
              </w:rPr>
              <w:t>个村垦造水田项目</w:t>
            </w:r>
          </w:p>
        </w:tc>
        <w:tc>
          <w:tcPr>
            <w:tcW w:w="776" w:type="pct"/>
            <w:shd w:val="clear" w:color="auto" w:fill="auto"/>
            <w:vAlign w:val="center"/>
          </w:tcPr>
          <w:p w14:paraId="5D4DBD46">
            <w:pPr>
              <w:pStyle w:val="11"/>
              <w:kinsoku/>
              <w:topLinePunct/>
              <w:autoSpaceDE/>
              <w:autoSpaceDN/>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rPr>
              <w:t>浮岗村、埔仔村</w:t>
            </w:r>
          </w:p>
        </w:tc>
        <w:tc>
          <w:tcPr>
            <w:tcW w:w="982" w:type="pct"/>
            <w:shd w:val="clear" w:color="auto" w:fill="auto"/>
            <w:vAlign w:val="center"/>
          </w:tcPr>
          <w:p w14:paraId="0ED6DD39">
            <w:pPr>
              <w:pStyle w:val="11"/>
              <w:kinsoku/>
              <w:topLinePunct/>
              <w:autoSpaceDE/>
              <w:autoSpaceDN/>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rPr>
              <w:t>4.2362</w:t>
            </w:r>
          </w:p>
        </w:tc>
      </w:tr>
      <w:tr w14:paraId="16B6A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402" w:hRule="atLeast"/>
        </w:trPr>
        <w:tc>
          <w:tcPr>
            <w:tcW w:w="909" w:type="pct"/>
            <w:vMerge w:val="continue"/>
            <w:shd w:val="clear" w:color="auto" w:fill="auto"/>
            <w:vAlign w:val="center"/>
          </w:tcPr>
          <w:p w14:paraId="548491D3">
            <w:pPr>
              <w:pStyle w:val="11"/>
              <w:kinsoku/>
              <w:topLinePunct/>
              <w:autoSpaceDE/>
              <w:autoSpaceDN/>
              <w:ind w:firstLine="480"/>
              <w:rPr>
                <w:rFonts w:ascii="Times New Roman" w:hAnsi="Times New Roman" w:eastAsia="仿宋" w:cs="Times New Roman"/>
                <w:color w:val="auto"/>
                <w:sz w:val="24"/>
                <w:szCs w:val="24"/>
                <w:highlight w:val="yellow"/>
              </w:rPr>
            </w:pPr>
          </w:p>
        </w:tc>
        <w:tc>
          <w:tcPr>
            <w:tcW w:w="429" w:type="pct"/>
            <w:vMerge w:val="continue"/>
            <w:shd w:val="clear" w:color="auto" w:fill="auto"/>
            <w:vAlign w:val="center"/>
          </w:tcPr>
          <w:p w14:paraId="24ACF0D9">
            <w:pPr>
              <w:pStyle w:val="11"/>
              <w:kinsoku/>
              <w:topLinePunct/>
              <w:autoSpaceDE/>
              <w:autoSpaceDN/>
              <w:ind w:firstLine="480"/>
              <w:rPr>
                <w:rFonts w:ascii="Times New Roman" w:hAnsi="Times New Roman" w:eastAsia="仿宋" w:cs="Times New Roman"/>
                <w:color w:val="auto"/>
                <w:sz w:val="24"/>
                <w:szCs w:val="24"/>
                <w:highlight w:val="yellow"/>
              </w:rPr>
            </w:pPr>
          </w:p>
        </w:tc>
        <w:tc>
          <w:tcPr>
            <w:tcW w:w="1029" w:type="pct"/>
            <w:vMerge w:val="continue"/>
            <w:shd w:val="clear" w:color="auto" w:fill="auto"/>
            <w:vAlign w:val="center"/>
          </w:tcPr>
          <w:p w14:paraId="0511B685">
            <w:pPr>
              <w:pStyle w:val="11"/>
              <w:kinsoku/>
              <w:topLinePunct/>
              <w:autoSpaceDE/>
              <w:autoSpaceDN/>
              <w:ind w:firstLine="480"/>
              <w:rPr>
                <w:rFonts w:ascii="Times New Roman" w:hAnsi="Times New Roman" w:eastAsia="仿宋" w:cs="Times New Roman"/>
                <w:color w:val="auto"/>
                <w:sz w:val="24"/>
                <w:szCs w:val="24"/>
                <w:highlight w:val="yellow"/>
              </w:rPr>
            </w:pPr>
          </w:p>
        </w:tc>
        <w:tc>
          <w:tcPr>
            <w:tcW w:w="871" w:type="pct"/>
            <w:shd w:val="clear" w:color="auto" w:fill="auto"/>
            <w:vAlign w:val="center"/>
          </w:tcPr>
          <w:p w14:paraId="003A2DE7">
            <w:pPr>
              <w:pStyle w:val="11"/>
              <w:kinsoku/>
              <w:topLinePunct/>
              <w:autoSpaceDE/>
              <w:autoSpaceDN/>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rPr>
              <w:t>202</w:t>
            </w:r>
            <w:r>
              <w:rPr>
                <w:rFonts w:hint="eastAsia" w:ascii="Times New Roman" w:hAnsi="Times New Roman" w:eastAsia="仿宋" w:cs="Times New Roman"/>
                <w:color w:val="auto"/>
                <w:sz w:val="24"/>
                <w:szCs w:val="24"/>
                <w:lang w:val="en-US" w:eastAsia="zh-CN"/>
              </w:rPr>
              <w:t>2</w:t>
            </w:r>
            <w:r>
              <w:rPr>
                <w:rFonts w:hint="eastAsia" w:ascii="Times New Roman" w:hAnsi="Times New Roman" w:eastAsia="仿宋" w:cs="Times New Roman"/>
                <w:color w:val="auto"/>
                <w:sz w:val="24"/>
                <w:szCs w:val="24"/>
              </w:rPr>
              <w:t>年度揭阳市空港经济区砲台镇浮岗村等</w:t>
            </w:r>
            <w:r>
              <w:rPr>
                <w:rFonts w:hint="eastAsia" w:ascii="Times New Roman" w:hAnsi="Times New Roman" w:eastAsia="仿宋" w:cs="Times New Roman"/>
                <w:color w:val="auto"/>
                <w:sz w:val="24"/>
                <w:szCs w:val="24"/>
                <w:lang w:val="en-US" w:eastAsia="zh-CN"/>
              </w:rPr>
              <w:t>2</w:t>
            </w:r>
            <w:r>
              <w:rPr>
                <w:rFonts w:hint="eastAsia" w:ascii="Times New Roman" w:hAnsi="Times New Roman" w:eastAsia="仿宋" w:cs="Times New Roman"/>
                <w:color w:val="auto"/>
                <w:sz w:val="24"/>
                <w:szCs w:val="24"/>
              </w:rPr>
              <w:t>个村垦造水田项目</w:t>
            </w:r>
          </w:p>
        </w:tc>
        <w:tc>
          <w:tcPr>
            <w:tcW w:w="776" w:type="pct"/>
            <w:shd w:val="clear" w:color="auto" w:fill="auto"/>
            <w:vAlign w:val="center"/>
          </w:tcPr>
          <w:p w14:paraId="6F63B5AB">
            <w:pPr>
              <w:pStyle w:val="11"/>
              <w:kinsoku/>
              <w:topLinePunct/>
              <w:autoSpaceDE/>
              <w:autoSpaceDN/>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rPr>
              <w:t>浮岗村、埔仔村</w:t>
            </w:r>
          </w:p>
        </w:tc>
        <w:tc>
          <w:tcPr>
            <w:tcW w:w="982" w:type="pct"/>
            <w:shd w:val="clear" w:color="auto" w:fill="auto"/>
            <w:vAlign w:val="center"/>
          </w:tcPr>
          <w:p w14:paraId="7FE00DC8">
            <w:pPr>
              <w:pStyle w:val="11"/>
              <w:kinsoku/>
              <w:topLinePunct/>
              <w:autoSpaceDE/>
              <w:autoSpaceDN/>
              <w:rPr>
                <w:rFonts w:hint="eastAsia" w:ascii="Times New Roman" w:hAnsi="Times New Roman" w:eastAsia="仿宋" w:cs="Times New Roman"/>
                <w:color w:val="auto"/>
                <w:sz w:val="24"/>
                <w:szCs w:val="24"/>
                <w:lang w:eastAsia="zh-CN"/>
              </w:rPr>
            </w:pPr>
            <w:r>
              <w:rPr>
                <w:rFonts w:hint="eastAsia" w:ascii="Times New Roman" w:hAnsi="Times New Roman" w:eastAsia="仿宋" w:cs="Times New Roman"/>
                <w:color w:val="auto"/>
                <w:sz w:val="24"/>
                <w:szCs w:val="24"/>
                <w:lang w:eastAsia="zh-CN"/>
              </w:rPr>
              <w:t>4.9446</w:t>
            </w:r>
          </w:p>
        </w:tc>
      </w:tr>
      <w:tr w14:paraId="5F3F8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402" w:hRule="atLeast"/>
        </w:trPr>
        <w:tc>
          <w:tcPr>
            <w:tcW w:w="909" w:type="pct"/>
            <w:vMerge w:val="continue"/>
            <w:shd w:val="clear" w:color="auto" w:fill="auto"/>
            <w:vAlign w:val="center"/>
          </w:tcPr>
          <w:p w14:paraId="75BC9F85">
            <w:pPr>
              <w:pStyle w:val="11"/>
              <w:kinsoku/>
              <w:topLinePunct/>
              <w:autoSpaceDE/>
              <w:autoSpaceDN/>
              <w:ind w:firstLine="480"/>
              <w:rPr>
                <w:rFonts w:ascii="Times New Roman" w:hAnsi="Times New Roman" w:eastAsia="仿宋" w:cs="Times New Roman"/>
                <w:color w:val="auto"/>
                <w:sz w:val="24"/>
                <w:szCs w:val="24"/>
                <w:highlight w:val="yellow"/>
              </w:rPr>
            </w:pPr>
          </w:p>
        </w:tc>
        <w:tc>
          <w:tcPr>
            <w:tcW w:w="429" w:type="pct"/>
            <w:vMerge w:val="continue"/>
            <w:shd w:val="clear" w:color="auto" w:fill="auto"/>
            <w:vAlign w:val="center"/>
          </w:tcPr>
          <w:p w14:paraId="3CD36F23">
            <w:pPr>
              <w:pStyle w:val="11"/>
              <w:kinsoku/>
              <w:topLinePunct/>
              <w:autoSpaceDE/>
              <w:autoSpaceDN/>
              <w:ind w:firstLine="480"/>
              <w:rPr>
                <w:rFonts w:ascii="Times New Roman" w:hAnsi="Times New Roman" w:eastAsia="仿宋" w:cs="Times New Roman"/>
                <w:color w:val="auto"/>
                <w:sz w:val="24"/>
                <w:szCs w:val="24"/>
                <w:highlight w:val="yellow"/>
              </w:rPr>
            </w:pPr>
          </w:p>
        </w:tc>
        <w:tc>
          <w:tcPr>
            <w:tcW w:w="1029" w:type="pct"/>
            <w:vMerge w:val="continue"/>
            <w:shd w:val="clear" w:color="auto" w:fill="auto"/>
            <w:vAlign w:val="center"/>
          </w:tcPr>
          <w:p w14:paraId="10FF045F">
            <w:pPr>
              <w:pStyle w:val="11"/>
              <w:kinsoku/>
              <w:topLinePunct/>
              <w:autoSpaceDE/>
              <w:autoSpaceDN/>
              <w:ind w:firstLine="480"/>
              <w:rPr>
                <w:rFonts w:ascii="Times New Roman" w:hAnsi="Times New Roman" w:eastAsia="仿宋" w:cs="Times New Roman"/>
                <w:color w:val="auto"/>
                <w:sz w:val="24"/>
                <w:szCs w:val="24"/>
                <w:highlight w:val="yellow"/>
              </w:rPr>
            </w:pPr>
          </w:p>
        </w:tc>
        <w:tc>
          <w:tcPr>
            <w:tcW w:w="1648" w:type="pct"/>
            <w:gridSpan w:val="2"/>
            <w:shd w:val="clear" w:color="auto" w:fill="auto"/>
            <w:vAlign w:val="center"/>
          </w:tcPr>
          <w:p w14:paraId="58F6132E">
            <w:pPr>
              <w:pStyle w:val="11"/>
              <w:kinsoku/>
              <w:topLinePunct/>
              <w:autoSpaceDE/>
              <w:autoSpaceDN/>
              <w:rPr>
                <w:rFonts w:hint="default" w:ascii="Times New Roman" w:hAnsi="Times New Roman" w:eastAsia="仿宋" w:cs="Times New Roman"/>
                <w:color w:val="auto"/>
                <w:sz w:val="24"/>
                <w:szCs w:val="24"/>
                <w:lang w:val="en-US" w:eastAsia="zh-CN"/>
              </w:rPr>
            </w:pPr>
            <w:r>
              <w:rPr>
                <w:rFonts w:hint="eastAsia" w:eastAsia="仿宋" w:cs="Times New Roman"/>
                <w:color w:val="auto"/>
                <w:sz w:val="24"/>
                <w:szCs w:val="24"/>
                <w:lang w:val="en-US" w:eastAsia="zh-CN"/>
              </w:rPr>
              <w:t>小计</w:t>
            </w:r>
          </w:p>
        </w:tc>
        <w:tc>
          <w:tcPr>
            <w:tcW w:w="982" w:type="pct"/>
            <w:shd w:val="clear" w:color="auto" w:fill="auto"/>
            <w:vAlign w:val="center"/>
          </w:tcPr>
          <w:p w14:paraId="16077E91">
            <w:pPr>
              <w:pStyle w:val="11"/>
              <w:kinsoku/>
              <w:topLinePunct/>
              <w:autoSpaceDE/>
              <w:autoSpaceDN/>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9.1808</w:t>
            </w:r>
          </w:p>
        </w:tc>
      </w:tr>
      <w:tr w14:paraId="457F3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402" w:hRule="atLeast"/>
        </w:trPr>
        <w:tc>
          <w:tcPr>
            <w:tcW w:w="909" w:type="pct"/>
            <w:vMerge w:val="continue"/>
            <w:shd w:val="clear" w:color="auto" w:fill="auto"/>
            <w:vAlign w:val="center"/>
          </w:tcPr>
          <w:p w14:paraId="68E8B8A3">
            <w:pPr>
              <w:pStyle w:val="11"/>
              <w:kinsoku/>
              <w:topLinePunct/>
              <w:autoSpaceDE/>
              <w:autoSpaceDN/>
              <w:ind w:firstLine="480"/>
              <w:rPr>
                <w:rFonts w:ascii="Times New Roman" w:hAnsi="Times New Roman" w:eastAsia="仿宋" w:cs="Times New Roman"/>
                <w:color w:val="auto"/>
                <w:sz w:val="24"/>
                <w:szCs w:val="24"/>
                <w:highlight w:val="yellow"/>
              </w:rPr>
            </w:pPr>
          </w:p>
        </w:tc>
        <w:tc>
          <w:tcPr>
            <w:tcW w:w="429" w:type="pct"/>
            <w:vMerge w:val="restart"/>
            <w:shd w:val="clear" w:color="auto" w:fill="auto"/>
            <w:vAlign w:val="center"/>
          </w:tcPr>
          <w:p w14:paraId="42ED5203">
            <w:pPr>
              <w:pStyle w:val="11"/>
              <w:kinsoku/>
              <w:topLinePunct/>
              <w:autoSpaceDE/>
              <w:autoSpaceDN/>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2</w:t>
            </w:r>
          </w:p>
        </w:tc>
        <w:tc>
          <w:tcPr>
            <w:tcW w:w="1029" w:type="pct"/>
            <w:vMerge w:val="restart"/>
            <w:shd w:val="clear" w:color="auto" w:fill="auto"/>
            <w:vAlign w:val="center"/>
          </w:tcPr>
          <w:p w14:paraId="7D2847C3">
            <w:pPr>
              <w:pStyle w:val="11"/>
              <w:kinsoku/>
              <w:topLinePunct/>
              <w:autoSpaceDE/>
              <w:autoSpaceDN/>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宜耕后备资源开发</w:t>
            </w:r>
          </w:p>
        </w:tc>
        <w:tc>
          <w:tcPr>
            <w:tcW w:w="871" w:type="pct"/>
            <w:shd w:val="clear" w:color="auto" w:fill="auto"/>
            <w:vAlign w:val="center"/>
          </w:tcPr>
          <w:p w14:paraId="0CB0BF2B">
            <w:pPr>
              <w:pStyle w:val="11"/>
              <w:kinsoku/>
              <w:topLinePunct/>
              <w:autoSpaceDE/>
              <w:autoSpaceDN/>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rPr>
              <w:t>2023年度榕城区砲台镇浮岗村、丰溪村耕地恢复项目</w:t>
            </w:r>
          </w:p>
        </w:tc>
        <w:tc>
          <w:tcPr>
            <w:tcW w:w="776" w:type="pct"/>
            <w:shd w:val="clear" w:color="auto" w:fill="auto"/>
            <w:vAlign w:val="center"/>
          </w:tcPr>
          <w:p w14:paraId="0B9ECEE9">
            <w:pPr>
              <w:pStyle w:val="11"/>
              <w:kinsoku/>
              <w:topLinePunct/>
              <w:autoSpaceDE/>
              <w:autoSpaceDN/>
              <w:rPr>
                <w:rFonts w:hint="eastAsia" w:ascii="Times New Roman" w:hAnsi="Times New Roman" w:eastAsia="仿宋" w:cs="Times New Roman"/>
                <w:color w:val="auto"/>
                <w:sz w:val="24"/>
                <w:szCs w:val="24"/>
                <w:lang w:eastAsia="zh-CN"/>
              </w:rPr>
            </w:pPr>
            <w:r>
              <w:rPr>
                <w:rFonts w:ascii="Times New Roman" w:hAnsi="Times New Roman" w:eastAsia="仿宋" w:cs="Times New Roman"/>
                <w:color w:val="auto"/>
                <w:sz w:val="24"/>
                <w:szCs w:val="24"/>
              </w:rPr>
              <w:t>浮岗村</w:t>
            </w:r>
            <w:r>
              <w:rPr>
                <w:rFonts w:hint="eastAsia" w:ascii="Times New Roman" w:hAnsi="Times New Roman" w:eastAsia="仿宋" w:cs="Times New Roman"/>
                <w:color w:val="auto"/>
                <w:sz w:val="24"/>
                <w:szCs w:val="24"/>
                <w:lang w:eastAsia="zh-CN"/>
              </w:rPr>
              <w:t>、</w:t>
            </w:r>
            <w:r>
              <w:rPr>
                <w:rFonts w:hint="eastAsia" w:ascii="Times New Roman" w:hAnsi="Times New Roman" w:eastAsia="仿宋" w:cs="Times New Roman"/>
                <w:color w:val="auto"/>
                <w:sz w:val="24"/>
                <w:szCs w:val="24"/>
              </w:rPr>
              <w:t>丰溪村</w:t>
            </w:r>
          </w:p>
        </w:tc>
        <w:tc>
          <w:tcPr>
            <w:tcW w:w="982" w:type="pct"/>
            <w:shd w:val="clear" w:color="auto" w:fill="auto"/>
            <w:vAlign w:val="center"/>
          </w:tcPr>
          <w:p w14:paraId="7C295EA7">
            <w:pPr>
              <w:pStyle w:val="11"/>
              <w:kinsoku/>
              <w:topLinePunct/>
              <w:autoSpaceDE/>
              <w:autoSpaceDN/>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13.5980</w:t>
            </w:r>
          </w:p>
        </w:tc>
      </w:tr>
      <w:tr w14:paraId="5A162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402" w:hRule="atLeast"/>
        </w:trPr>
        <w:tc>
          <w:tcPr>
            <w:tcW w:w="909" w:type="pct"/>
            <w:vMerge w:val="continue"/>
            <w:shd w:val="clear" w:color="auto" w:fill="auto"/>
            <w:vAlign w:val="center"/>
          </w:tcPr>
          <w:p w14:paraId="0C4368DE">
            <w:pPr>
              <w:pStyle w:val="11"/>
              <w:kinsoku/>
              <w:topLinePunct/>
              <w:autoSpaceDE/>
              <w:autoSpaceDN/>
              <w:ind w:firstLine="480"/>
              <w:rPr>
                <w:rFonts w:ascii="Times New Roman" w:hAnsi="Times New Roman" w:eastAsia="仿宋" w:cs="Times New Roman"/>
                <w:color w:val="auto"/>
                <w:sz w:val="24"/>
                <w:szCs w:val="24"/>
                <w:highlight w:val="yellow"/>
              </w:rPr>
            </w:pPr>
          </w:p>
        </w:tc>
        <w:tc>
          <w:tcPr>
            <w:tcW w:w="429" w:type="pct"/>
            <w:vMerge w:val="continue"/>
            <w:shd w:val="clear" w:color="auto" w:fill="auto"/>
            <w:vAlign w:val="center"/>
          </w:tcPr>
          <w:p w14:paraId="474522D1">
            <w:pPr>
              <w:pStyle w:val="11"/>
              <w:kinsoku/>
              <w:topLinePunct/>
              <w:autoSpaceDE/>
              <w:autoSpaceDN/>
              <w:ind w:firstLine="480"/>
              <w:rPr>
                <w:rFonts w:ascii="Times New Roman" w:hAnsi="Times New Roman" w:eastAsia="仿宋" w:cs="Times New Roman"/>
                <w:color w:val="auto"/>
                <w:sz w:val="24"/>
                <w:szCs w:val="24"/>
                <w:highlight w:val="yellow"/>
              </w:rPr>
            </w:pPr>
          </w:p>
        </w:tc>
        <w:tc>
          <w:tcPr>
            <w:tcW w:w="1029" w:type="pct"/>
            <w:vMerge w:val="continue"/>
            <w:shd w:val="clear" w:color="auto" w:fill="auto"/>
            <w:vAlign w:val="center"/>
          </w:tcPr>
          <w:p w14:paraId="317A2978">
            <w:pPr>
              <w:pStyle w:val="11"/>
              <w:kinsoku/>
              <w:topLinePunct/>
              <w:autoSpaceDE/>
              <w:autoSpaceDN/>
              <w:ind w:firstLine="480"/>
              <w:rPr>
                <w:rFonts w:ascii="Times New Roman" w:hAnsi="Times New Roman" w:eastAsia="仿宋" w:cs="Times New Roman"/>
                <w:color w:val="auto"/>
                <w:sz w:val="24"/>
                <w:szCs w:val="24"/>
                <w:highlight w:val="yellow"/>
              </w:rPr>
            </w:pPr>
          </w:p>
        </w:tc>
        <w:tc>
          <w:tcPr>
            <w:tcW w:w="1648" w:type="pct"/>
            <w:gridSpan w:val="2"/>
            <w:shd w:val="clear" w:color="auto" w:fill="auto"/>
            <w:vAlign w:val="center"/>
          </w:tcPr>
          <w:p w14:paraId="043A61F5">
            <w:pPr>
              <w:pStyle w:val="11"/>
              <w:kinsoku/>
              <w:topLinePunct/>
              <w:autoSpaceDE/>
              <w:autoSpaceDN/>
              <w:rPr>
                <w:rFonts w:hint="default" w:ascii="Times New Roman" w:hAnsi="Times New Roman" w:eastAsia="仿宋" w:cs="Times New Roman"/>
                <w:color w:val="auto"/>
                <w:sz w:val="24"/>
                <w:szCs w:val="24"/>
                <w:lang w:val="en-US" w:eastAsia="zh-CN"/>
              </w:rPr>
            </w:pPr>
            <w:r>
              <w:rPr>
                <w:rFonts w:hint="eastAsia" w:eastAsia="仿宋" w:cs="Times New Roman"/>
                <w:color w:val="auto"/>
                <w:sz w:val="24"/>
                <w:szCs w:val="24"/>
                <w:lang w:val="en-US" w:eastAsia="zh-CN"/>
              </w:rPr>
              <w:t>小计</w:t>
            </w:r>
          </w:p>
        </w:tc>
        <w:tc>
          <w:tcPr>
            <w:tcW w:w="982" w:type="pct"/>
            <w:shd w:val="clear" w:color="auto" w:fill="auto"/>
            <w:vAlign w:val="center"/>
          </w:tcPr>
          <w:p w14:paraId="0A272A00">
            <w:pPr>
              <w:pStyle w:val="11"/>
              <w:kinsoku/>
              <w:topLinePunct/>
              <w:autoSpaceDE/>
              <w:autoSpaceDN/>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val="en-US" w:eastAsia="zh-CN"/>
              </w:rPr>
              <w:t>13.5980</w:t>
            </w:r>
          </w:p>
        </w:tc>
      </w:tr>
      <w:tr w14:paraId="2B8D0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402" w:hRule="atLeast"/>
        </w:trPr>
        <w:tc>
          <w:tcPr>
            <w:tcW w:w="909" w:type="pct"/>
            <w:vMerge w:val="restart"/>
            <w:shd w:val="clear" w:color="auto" w:fill="auto"/>
            <w:vAlign w:val="center"/>
          </w:tcPr>
          <w:p w14:paraId="079AB3C4">
            <w:pPr>
              <w:pStyle w:val="11"/>
              <w:kinsoku/>
              <w:topLinePunct/>
              <w:autoSpaceDE/>
              <w:autoSpaceDN/>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rPr>
              <w:t>建设用地整理项目</w:t>
            </w:r>
          </w:p>
        </w:tc>
        <w:tc>
          <w:tcPr>
            <w:tcW w:w="429" w:type="pct"/>
            <w:vMerge w:val="restart"/>
            <w:shd w:val="clear" w:color="auto" w:fill="auto"/>
            <w:vAlign w:val="center"/>
          </w:tcPr>
          <w:p w14:paraId="65B70FDF">
            <w:pPr>
              <w:pStyle w:val="11"/>
              <w:kinsoku/>
              <w:topLinePunct/>
              <w:autoSpaceDE/>
              <w:autoSpaceDN/>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3</w:t>
            </w:r>
          </w:p>
        </w:tc>
        <w:tc>
          <w:tcPr>
            <w:tcW w:w="1029" w:type="pct"/>
            <w:vMerge w:val="restart"/>
            <w:shd w:val="clear" w:color="auto" w:fill="auto"/>
            <w:vAlign w:val="center"/>
          </w:tcPr>
          <w:p w14:paraId="52B0A62F">
            <w:pPr>
              <w:pStyle w:val="11"/>
              <w:kinsoku/>
              <w:topLinePunct/>
              <w:autoSpaceDE/>
              <w:autoSpaceDN/>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rPr>
              <w:t>建设用地复垦</w:t>
            </w:r>
          </w:p>
        </w:tc>
        <w:tc>
          <w:tcPr>
            <w:tcW w:w="871" w:type="pct"/>
            <w:shd w:val="clear" w:color="auto" w:fill="auto"/>
            <w:vAlign w:val="center"/>
          </w:tcPr>
          <w:p w14:paraId="0A61884B">
            <w:pPr>
              <w:pStyle w:val="11"/>
              <w:kinsoku/>
              <w:topLinePunct/>
              <w:autoSpaceDE/>
              <w:autoSpaceDN/>
              <w:rPr>
                <w:rFonts w:ascii="Times New Roman" w:hAnsi="Times New Roman" w:eastAsia="仿宋" w:cs="Times New Roman"/>
                <w:color w:val="auto"/>
                <w:sz w:val="24"/>
                <w:szCs w:val="24"/>
                <w:highlight w:val="yellow"/>
              </w:rPr>
            </w:pPr>
            <w:r>
              <w:rPr>
                <w:rFonts w:hint="eastAsia" w:ascii="Times New Roman" w:hAnsi="Times New Roman" w:eastAsia="仿宋" w:cs="Times New Roman"/>
                <w:color w:val="auto"/>
                <w:sz w:val="24"/>
                <w:szCs w:val="24"/>
              </w:rPr>
              <w:t>揭阳明珠一品花园土地复垦项目</w:t>
            </w:r>
          </w:p>
        </w:tc>
        <w:tc>
          <w:tcPr>
            <w:tcW w:w="776" w:type="pct"/>
            <w:shd w:val="clear" w:color="auto" w:fill="auto"/>
            <w:vAlign w:val="center"/>
          </w:tcPr>
          <w:p w14:paraId="046B6A71">
            <w:pPr>
              <w:pStyle w:val="11"/>
              <w:kinsoku/>
              <w:topLinePunct/>
              <w:autoSpaceDE/>
              <w:autoSpaceDN/>
              <w:rPr>
                <w:rFonts w:ascii="Times New Roman" w:hAnsi="Times New Roman" w:eastAsia="仿宋" w:cs="Times New Roman"/>
                <w:color w:val="auto"/>
                <w:sz w:val="24"/>
                <w:szCs w:val="24"/>
                <w:highlight w:val="yellow"/>
              </w:rPr>
            </w:pPr>
            <w:r>
              <w:rPr>
                <w:rFonts w:hint="eastAsia" w:ascii="Times New Roman" w:hAnsi="Times New Roman" w:eastAsia="仿宋" w:cs="Times New Roman"/>
                <w:color w:val="auto"/>
                <w:sz w:val="24"/>
                <w:szCs w:val="24"/>
              </w:rPr>
              <w:t>新市村</w:t>
            </w:r>
          </w:p>
        </w:tc>
        <w:tc>
          <w:tcPr>
            <w:tcW w:w="982" w:type="pct"/>
            <w:shd w:val="clear" w:color="auto" w:fill="auto"/>
            <w:vAlign w:val="center"/>
          </w:tcPr>
          <w:p w14:paraId="4CB157EA">
            <w:pPr>
              <w:pStyle w:val="11"/>
              <w:kinsoku/>
              <w:topLinePunct/>
              <w:autoSpaceDE/>
              <w:autoSpaceDN/>
              <w:rPr>
                <w:rFonts w:hint="default" w:ascii="Times New Roman" w:hAnsi="Times New Roman" w:eastAsia="仿宋" w:cs="Times New Roman"/>
                <w:color w:val="auto"/>
                <w:sz w:val="24"/>
                <w:szCs w:val="24"/>
                <w:highlight w:val="yellow"/>
                <w:lang w:val="en-US" w:eastAsia="zh-CN"/>
              </w:rPr>
            </w:pPr>
            <w:r>
              <w:rPr>
                <w:rFonts w:hint="eastAsia" w:ascii="Times New Roman" w:hAnsi="Times New Roman" w:eastAsia="仿宋" w:cs="Times New Roman"/>
                <w:color w:val="auto"/>
                <w:sz w:val="24"/>
                <w:szCs w:val="24"/>
              </w:rPr>
              <w:t>0</w:t>
            </w:r>
            <w:r>
              <w:rPr>
                <w:rFonts w:ascii="Times New Roman" w:hAnsi="Times New Roman" w:eastAsia="仿宋" w:cs="Times New Roman"/>
                <w:color w:val="auto"/>
                <w:sz w:val="24"/>
                <w:szCs w:val="24"/>
              </w:rPr>
              <w:t>.59</w:t>
            </w:r>
            <w:r>
              <w:rPr>
                <w:rFonts w:hint="eastAsia" w:ascii="Times New Roman" w:hAnsi="Times New Roman" w:eastAsia="仿宋" w:cs="Times New Roman"/>
                <w:color w:val="auto"/>
                <w:sz w:val="24"/>
                <w:szCs w:val="24"/>
                <w:lang w:val="en-US" w:eastAsia="zh-CN"/>
              </w:rPr>
              <w:t>14</w:t>
            </w:r>
          </w:p>
        </w:tc>
      </w:tr>
      <w:tr w14:paraId="520EA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402" w:hRule="atLeast"/>
        </w:trPr>
        <w:tc>
          <w:tcPr>
            <w:tcW w:w="909" w:type="pct"/>
            <w:vMerge w:val="continue"/>
            <w:shd w:val="clear" w:color="auto" w:fill="auto"/>
            <w:vAlign w:val="center"/>
          </w:tcPr>
          <w:p w14:paraId="5298C976">
            <w:pPr>
              <w:pStyle w:val="11"/>
              <w:kinsoku/>
              <w:topLinePunct/>
              <w:autoSpaceDE/>
              <w:autoSpaceDN/>
              <w:ind w:firstLine="480"/>
              <w:rPr>
                <w:rFonts w:ascii="Times New Roman" w:hAnsi="Times New Roman" w:eastAsia="仿宋" w:cs="Times New Roman"/>
                <w:color w:val="auto"/>
                <w:sz w:val="24"/>
                <w:szCs w:val="24"/>
              </w:rPr>
            </w:pPr>
          </w:p>
        </w:tc>
        <w:tc>
          <w:tcPr>
            <w:tcW w:w="429" w:type="pct"/>
            <w:vMerge w:val="continue"/>
            <w:shd w:val="clear" w:color="auto" w:fill="auto"/>
            <w:vAlign w:val="center"/>
          </w:tcPr>
          <w:p w14:paraId="7C878EF6">
            <w:pPr>
              <w:pStyle w:val="11"/>
              <w:kinsoku/>
              <w:topLinePunct/>
              <w:autoSpaceDE/>
              <w:autoSpaceDN/>
              <w:ind w:firstLine="480"/>
              <w:rPr>
                <w:rFonts w:ascii="Times New Roman" w:hAnsi="Times New Roman" w:eastAsia="仿宋" w:cs="Times New Roman"/>
                <w:color w:val="auto"/>
                <w:sz w:val="24"/>
                <w:szCs w:val="24"/>
              </w:rPr>
            </w:pPr>
          </w:p>
        </w:tc>
        <w:tc>
          <w:tcPr>
            <w:tcW w:w="1029" w:type="pct"/>
            <w:vMerge w:val="continue"/>
            <w:shd w:val="clear" w:color="auto" w:fill="auto"/>
            <w:vAlign w:val="center"/>
          </w:tcPr>
          <w:p w14:paraId="24E0140B">
            <w:pPr>
              <w:pStyle w:val="11"/>
              <w:kinsoku/>
              <w:topLinePunct/>
              <w:autoSpaceDE/>
              <w:autoSpaceDN/>
              <w:ind w:firstLine="480"/>
              <w:rPr>
                <w:rFonts w:ascii="Times New Roman" w:hAnsi="Times New Roman" w:eastAsia="仿宋" w:cs="Times New Roman"/>
                <w:color w:val="auto"/>
                <w:sz w:val="24"/>
                <w:szCs w:val="24"/>
              </w:rPr>
            </w:pPr>
          </w:p>
        </w:tc>
        <w:tc>
          <w:tcPr>
            <w:tcW w:w="1648" w:type="pct"/>
            <w:gridSpan w:val="2"/>
            <w:shd w:val="clear" w:color="auto" w:fill="auto"/>
            <w:vAlign w:val="center"/>
          </w:tcPr>
          <w:p w14:paraId="54986F0B">
            <w:pPr>
              <w:pStyle w:val="11"/>
              <w:kinsoku/>
              <w:topLinePunct/>
              <w:autoSpaceDE/>
              <w:autoSpaceDN/>
              <w:rPr>
                <w:rFonts w:hint="eastAsia" w:ascii="Times New Roman" w:hAnsi="Times New Roman" w:eastAsia="仿宋" w:cs="Times New Roman"/>
                <w:color w:val="auto"/>
                <w:sz w:val="24"/>
                <w:szCs w:val="24"/>
                <w:lang w:val="en-US" w:eastAsia="zh-CN"/>
              </w:rPr>
            </w:pPr>
            <w:r>
              <w:rPr>
                <w:rFonts w:hint="eastAsia" w:eastAsia="仿宋" w:cs="Times New Roman"/>
                <w:color w:val="auto"/>
                <w:sz w:val="24"/>
                <w:szCs w:val="24"/>
                <w:lang w:val="en-US" w:eastAsia="zh-CN"/>
              </w:rPr>
              <w:t>小计</w:t>
            </w:r>
          </w:p>
        </w:tc>
        <w:tc>
          <w:tcPr>
            <w:tcW w:w="982" w:type="pct"/>
            <w:shd w:val="clear" w:color="auto" w:fill="auto"/>
            <w:vAlign w:val="center"/>
          </w:tcPr>
          <w:p w14:paraId="33B8F835">
            <w:pPr>
              <w:pStyle w:val="11"/>
              <w:kinsoku/>
              <w:topLinePunct/>
              <w:autoSpaceDE/>
              <w:autoSpaceDN/>
              <w:rPr>
                <w:rFonts w:hint="default" w:ascii="Times New Roman" w:hAnsi="Times New Roman" w:eastAsia="仿宋" w:cs="Times New Roman"/>
                <w:color w:val="auto"/>
                <w:sz w:val="24"/>
                <w:szCs w:val="24"/>
                <w:highlight w:val="yellow"/>
                <w:lang w:val="en-US" w:eastAsia="zh-CN"/>
              </w:rPr>
            </w:pPr>
            <w:r>
              <w:rPr>
                <w:rFonts w:hint="eastAsia" w:ascii="Times New Roman" w:hAnsi="Times New Roman" w:eastAsia="仿宋" w:cs="Times New Roman"/>
                <w:color w:val="auto"/>
                <w:sz w:val="24"/>
                <w:szCs w:val="24"/>
              </w:rPr>
              <w:t>0</w:t>
            </w:r>
            <w:r>
              <w:rPr>
                <w:rFonts w:ascii="Times New Roman" w:hAnsi="Times New Roman" w:eastAsia="仿宋" w:cs="Times New Roman"/>
                <w:color w:val="auto"/>
                <w:sz w:val="24"/>
                <w:szCs w:val="24"/>
              </w:rPr>
              <w:t>.59</w:t>
            </w:r>
            <w:r>
              <w:rPr>
                <w:rFonts w:hint="eastAsia" w:ascii="Times New Roman" w:hAnsi="Times New Roman" w:eastAsia="仿宋" w:cs="Times New Roman"/>
                <w:color w:val="auto"/>
                <w:sz w:val="24"/>
                <w:szCs w:val="24"/>
                <w:lang w:val="en-US" w:eastAsia="zh-CN"/>
              </w:rPr>
              <w:t>14</w:t>
            </w:r>
          </w:p>
        </w:tc>
      </w:tr>
      <w:tr w14:paraId="1951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564" w:hRule="atLeast"/>
        </w:trPr>
        <w:tc>
          <w:tcPr>
            <w:tcW w:w="909" w:type="pct"/>
            <w:shd w:val="clear" w:color="auto" w:fill="auto"/>
            <w:vAlign w:val="center"/>
          </w:tcPr>
          <w:p w14:paraId="72CFA2B5">
            <w:pPr>
              <w:pStyle w:val="11"/>
              <w:topLinePunct/>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乡村生态保护修复项目</w:t>
            </w:r>
          </w:p>
        </w:tc>
        <w:tc>
          <w:tcPr>
            <w:tcW w:w="429" w:type="pct"/>
            <w:shd w:val="clear" w:color="auto" w:fill="auto"/>
            <w:vAlign w:val="center"/>
          </w:tcPr>
          <w:p w14:paraId="6F2F550B">
            <w:pPr>
              <w:pStyle w:val="11"/>
              <w:kinsoku/>
              <w:topLinePunct/>
              <w:autoSpaceDE/>
              <w:autoSpaceDN/>
              <w:rPr>
                <w:rFonts w:hint="eastAsia" w:ascii="Times New Roman" w:hAnsi="Times New Roman" w:eastAsia="仿宋" w:cs="Times New Roman"/>
                <w:color w:val="auto"/>
                <w:sz w:val="24"/>
                <w:szCs w:val="24"/>
                <w:lang w:eastAsia="zh-CN"/>
              </w:rPr>
            </w:pPr>
            <w:r>
              <w:rPr>
                <w:rFonts w:hint="eastAsia" w:ascii="Times New Roman" w:hAnsi="Times New Roman" w:eastAsia="仿宋" w:cs="Times New Roman"/>
                <w:color w:val="auto"/>
                <w:sz w:val="24"/>
                <w:szCs w:val="24"/>
                <w:lang w:val="en-US" w:eastAsia="zh-CN"/>
              </w:rPr>
              <w:t>4</w:t>
            </w:r>
          </w:p>
        </w:tc>
        <w:tc>
          <w:tcPr>
            <w:tcW w:w="1029" w:type="pct"/>
            <w:shd w:val="clear" w:color="auto" w:fill="auto"/>
            <w:vAlign w:val="center"/>
          </w:tcPr>
          <w:p w14:paraId="2F33BC90">
            <w:pPr>
              <w:pStyle w:val="11"/>
              <w:kinsoku/>
              <w:topLinePunct/>
              <w:autoSpaceDE/>
              <w:autoSpaceDN/>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海岸线修复</w:t>
            </w:r>
          </w:p>
        </w:tc>
        <w:tc>
          <w:tcPr>
            <w:tcW w:w="871" w:type="pct"/>
            <w:shd w:val="clear" w:color="auto" w:fill="auto"/>
            <w:vAlign w:val="center"/>
          </w:tcPr>
          <w:p w14:paraId="601AF39E">
            <w:pPr>
              <w:pStyle w:val="11"/>
              <w:kinsoku/>
              <w:topLinePunct/>
              <w:autoSpaceDE/>
              <w:autoSpaceDN/>
              <w:rPr>
                <w:rFonts w:ascii="Times New Roman" w:hAnsi="Times New Roman" w:eastAsia="仿宋" w:cs="Times New Roman"/>
                <w:color w:val="auto"/>
                <w:sz w:val="24"/>
                <w:szCs w:val="24"/>
                <w:highlight w:val="yellow"/>
              </w:rPr>
            </w:pPr>
            <w:r>
              <w:rPr>
                <w:rFonts w:hint="eastAsia" w:ascii="Times New Roman" w:hAnsi="Times New Roman" w:eastAsia="仿宋" w:cs="Times New Roman"/>
                <w:color w:val="auto"/>
                <w:sz w:val="24"/>
                <w:szCs w:val="24"/>
              </w:rPr>
              <w:t>揭阳空港经济区砲台镇南潮村湿地公园海岸线生态修复项目</w:t>
            </w:r>
          </w:p>
        </w:tc>
        <w:tc>
          <w:tcPr>
            <w:tcW w:w="776" w:type="pct"/>
            <w:shd w:val="clear" w:color="auto" w:fill="auto"/>
            <w:vAlign w:val="center"/>
          </w:tcPr>
          <w:p w14:paraId="2E7DBCCE">
            <w:pPr>
              <w:pStyle w:val="11"/>
              <w:kinsoku/>
              <w:topLinePunct/>
              <w:autoSpaceDE/>
              <w:autoSpaceDN/>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南潮村</w:t>
            </w:r>
          </w:p>
        </w:tc>
        <w:tc>
          <w:tcPr>
            <w:tcW w:w="982" w:type="pct"/>
            <w:shd w:val="clear" w:color="auto" w:fill="auto"/>
            <w:vAlign w:val="center"/>
          </w:tcPr>
          <w:p w14:paraId="5726C169">
            <w:pPr>
              <w:pStyle w:val="11"/>
              <w:kinsoku/>
              <w:topLinePunct/>
              <w:autoSpaceDE/>
              <w:autoSpaceDN/>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19.6954</w:t>
            </w:r>
          </w:p>
        </w:tc>
      </w:tr>
      <w:tr w14:paraId="343FD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918" w:hRule="atLeast"/>
        </w:trPr>
        <w:tc>
          <w:tcPr>
            <w:tcW w:w="909" w:type="pct"/>
            <w:vMerge w:val="restart"/>
            <w:shd w:val="clear" w:color="auto" w:fill="auto"/>
            <w:vAlign w:val="center"/>
          </w:tcPr>
          <w:p w14:paraId="21753D49">
            <w:pPr>
              <w:pStyle w:val="11"/>
              <w:kinsoku/>
              <w:topLinePunct/>
              <w:autoSpaceDE/>
              <w:autoSpaceDN/>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rPr>
              <w:t>乡村风貌提升</w:t>
            </w:r>
          </w:p>
        </w:tc>
        <w:tc>
          <w:tcPr>
            <w:tcW w:w="429" w:type="pct"/>
            <w:vMerge w:val="restart"/>
            <w:shd w:val="clear" w:color="auto" w:fill="auto"/>
            <w:vAlign w:val="center"/>
          </w:tcPr>
          <w:p w14:paraId="70A5085A">
            <w:pPr>
              <w:pStyle w:val="11"/>
              <w:kinsoku/>
              <w:topLinePunct/>
              <w:autoSpaceDE/>
              <w:autoSpaceDN/>
              <w:rPr>
                <w:rFonts w:hint="eastAsia" w:ascii="Times New Roman" w:hAnsi="Times New Roman" w:eastAsia="仿宋" w:cs="Times New Roman"/>
                <w:color w:val="auto"/>
                <w:sz w:val="24"/>
                <w:szCs w:val="24"/>
                <w:lang w:eastAsia="zh-CN"/>
              </w:rPr>
            </w:pPr>
            <w:r>
              <w:rPr>
                <w:rFonts w:hint="eastAsia" w:ascii="Times New Roman" w:hAnsi="Times New Roman" w:eastAsia="仿宋" w:cs="Times New Roman"/>
                <w:color w:val="auto"/>
                <w:sz w:val="24"/>
                <w:szCs w:val="24"/>
                <w:lang w:val="en-US" w:eastAsia="zh-CN"/>
              </w:rPr>
              <w:t>5</w:t>
            </w:r>
          </w:p>
        </w:tc>
        <w:tc>
          <w:tcPr>
            <w:tcW w:w="1029" w:type="pct"/>
            <w:vMerge w:val="restart"/>
            <w:shd w:val="clear" w:color="auto" w:fill="auto"/>
            <w:vAlign w:val="center"/>
          </w:tcPr>
          <w:p w14:paraId="6E6CE731">
            <w:pPr>
              <w:pStyle w:val="11"/>
              <w:kinsoku/>
              <w:topLinePunct/>
              <w:autoSpaceDE/>
              <w:autoSpaceDN/>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rPr>
              <w:t>道路改造提升</w:t>
            </w:r>
          </w:p>
        </w:tc>
        <w:tc>
          <w:tcPr>
            <w:tcW w:w="871" w:type="pct"/>
            <w:vMerge w:val="restart"/>
            <w:shd w:val="clear" w:color="auto" w:fill="auto"/>
            <w:vAlign w:val="center"/>
          </w:tcPr>
          <w:p w14:paraId="61F839C6">
            <w:pPr>
              <w:pStyle w:val="11"/>
              <w:kinsoku/>
              <w:topLinePunct/>
              <w:autoSpaceDE/>
              <w:autoSpaceDN/>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rPr>
              <w:t>砲台镇砲台社区、丰溪村、新市村、桃山村4个社区（村）道路改造提升工程</w:t>
            </w:r>
          </w:p>
        </w:tc>
        <w:tc>
          <w:tcPr>
            <w:tcW w:w="776" w:type="pct"/>
            <w:shd w:val="clear" w:color="auto" w:fill="auto"/>
            <w:vAlign w:val="center"/>
          </w:tcPr>
          <w:p w14:paraId="381AD3A5">
            <w:pPr>
              <w:pStyle w:val="11"/>
              <w:kinsoku/>
              <w:topLinePunct/>
              <w:autoSpaceDE/>
              <w:autoSpaceDN/>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rPr>
              <w:t>丰溪村</w:t>
            </w:r>
          </w:p>
        </w:tc>
        <w:tc>
          <w:tcPr>
            <w:tcW w:w="982" w:type="pct"/>
            <w:shd w:val="clear" w:color="auto" w:fill="auto"/>
            <w:vAlign w:val="center"/>
          </w:tcPr>
          <w:p w14:paraId="425A0EA5">
            <w:pPr>
              <w:pStyle w:val="11"/>
              <w:kinsoku/>
              <w:topLinePunct/>
              <w:autoSpaceDE/>
              <w:autoSpaceDN/>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rPr>
              <w:t>约</w:t>
            </w:r>
            <w:r>
              <w:rPr>
                <w:rFonts w:ascii="Times New Roman" w:hAnsi="Times New Roman" w:eastAsia="仿宋" w:cs="Times New Roman"/>
                <w:color w:val="auto"/>
                <w:sz w:val="24"/>
                <w:szCs w:val="24"/>
              </w:rPr>
              <w:t>3842</w:t>
            </w:r>
            <w:r>
              <w:rPr>
                <w:rFonts w:hint="eastAsia" w:ascii="Times New Roman" w:hAnsi="Times New Roman" w:eastAsia="仿宋" w:cs="Times New Roman"/>
                <w:color w:val="auto"/>
                <w:sz w:val="24"/>
                <w:szCs w:val="24"/>
              </w:rPr>
              <w:t>米</w:t>
            </w:r>
          </w:p>
        </w:tc>
      </w:tr>
      <w:tr w14:paraId="147F1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818" w:hRule="atLeast"/>
        </w:trPr>
        <w:tc>
          <w:tcPr>
            <w:tcW w:w="909" w:type="pct"/>
            <w:vMerge w:val="continue"/>
            <w:shd w:val="clear" w:color="auto" w:fill="auto"/>
            <w:vAlign w:val="center"/>
          </w:tcPr>
          <w:p w14:paraId="700C0820">
            <w:pPr>
              <w:pStyle w:val="11"/>
              <w:kinsoku/>
              <w:topLinePunct/>
              <w:autoSpaceDE/>
              <w:autoSpaceDN/>
              <w:jc w:val="left"/>
              <w:rPr>
                <w:rFonts w:ascii="Times New Roman" w:hAnsi="Times New Roman" w:eastAsia="仿宋" w:cs="Times New Roman"/>
                <w:color w:val="auto"/>
                <w:sz w:val="24"/>
                <w:szCs w:val="24"/>
              </w:rPr>
            </w:pPr>
          </w:p>
        </w:tc>
        <w:tc>
          <w:tcPr>
            <w:tcW w:w="429" w:type="pct"/>
            <w:vMerge w:val="continue"/>
            <w:shd w:val="clear" w:color="auto" w:fill="auto"/>
            <w:vAlign w:val="center"/>
          </w:tcPr>
          <w:p w14:paraId="365488E7">
            <w:pPr>
              <w:pStyle w:val="11"/>
              <w:kinsoku/>
              <w:topLinePunct/>
              <w:autoSpaceDE/>
              <w:autoSpaceDN/>
              <w:rPr>
                <w:rFonts w:ascii="Times New Roman" w:hAnsi="Times New Roman" w:eastAsia="仿宋" w:cs="Times New Roman"/>
                <w:color w:val="auto"/>
                <w:sz w:val="24"/>
                <w:szCs w:val="24"/>
              </w:rPr>
            </w:pPr>
          </w:p>
        </w:tc>
        <w:tc>
          <w:tcPr>
            <w:tcW w:w="1029" w:type="pct"/>
            <w:vMerge w:val="continue"/>
            <w:shd w:val="clear" w:color="auto" w:fill="auto"/>
            <w:vAlign w:val="center"/>
          </w:tcPr>
          <w:p w14:paraId="78D2DEF8">
            <w:pPr>
              <w:pStyle w:val="11"/>
              <w:kinsoku/>
              <w:topLinePunct/>
              <w:autoSpaceDE/>
              <w:autoSpaceDN/>
              <w:rPr>
                <w:rFonts w:ascii="Times New Roman" w:hAnsi="Times New Roman" w:eastAsia="仿宋" w:cs="Times New Roman"/>
                <w:color w:val="auto"/>
                <w:sz w:val="24"/>
                <w:szCs w:val="24"/>
              </w:rPr>
            </w:pPr>
          </w:p>
        </w:tc>
        <w:tc>
          <w:tcPr>
            <w:tcW w:w="871" w:type="pct"/>
            <w:vMerge w:val="continue"/>
            <w:shd w:val="clear" w:color="auto" w:fill="auto"/>
            <w:vAlign w:val="center"/>
          </w:tcPr>
          <w:p w14:paraId="5135D402">
            <w:pPr>
              <w:pStyle w:val="11"/>
              <w:kinsoku/>
              <w:topLinePunct/>
              <w:autoSpaceDE/>
              <w:autoSpaceDN/>
              <w:rPr>
                <w:rFonts w:ascii="Times New Roman" w:hAnsi="Times New Roman" w:eastAsia="仿宋" w:cs="Times New Roman"/>
                <w:color w:val="auto"/>
                <w:sz w:val="24"/>
                <w:szCs w:val="24"/>
              </w:rPr>
            </w:pPr>
          </w:p>
        </w:tc>
        <w:tc>
          <w:tcPr>
            <w:tcW w:w="776" w:type="pct"/>
            <w:shd w:val="clear" w:color="auto" w:fill="auto"/>
            <w:vAlign w:val="center"/>
          </w:tcPr>
          <w:p w14:paraId="60D7B36F">
            <w:pPr>
              <w:pStyle w:val="11"/>
              <w:kinsoku/>
              <w:topLinePunct/>
              <w:autoSpaceDE/>
              <w:autoSpaceDN/>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rPr>
              <w:t>新市村</w:t>
            </w:r>
          </w:p>
        </w:tc>
        <w:tc>
          <w:tcPr>
            <w:tcW w:w="982" w:type="pct"/>
            <w:shd w:val="clear" w:color="auto" w:fill="auto"/>
            <w:vAlign w:val="center"/>
          </w:tcPr>
          <w:p w14:paraId="56D4D720">
            <w:pPr>
              <w:pStyle w:val="11"/>
              <w:kinsoku/>
              <w:topLinePunct/>
              <w:autoSpaceDE/>
              <w:autoSpaceDN/>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rPr>
              <w:t>约</w:t>
            </w:r>
            <w:r>
              <w:rPr>
                <w:rFonts w:ascii="Times New Roman" w:hAnsi="Times New Roman" w:eastAsia="仿宋" w:cs="Times New Roman"/>
                <w:color w:val="auto"/>
                <w:sz w:val="24"/>
                <w:szCs w:val="24"/>
              </w:rPr>
              <w:t>367</w:t>
            </w:r>
            <w:r>
              <w:rPr>
                <w:rFonts w:hint="eastAsia" w:ascii="Times New Roman" w:hAnsi="Times New Roman" w:eastAsia="仿宋" w:cs="Times New Roman"/>
                <w:color w:val="auto"/>
                <w:sz w:val="24"/>
                <w:szCs w:val="24"/>
              </w:rPr>
              <w:t>米</w:t>
            </w:r>
          </w:p>
        </w:tc>
      </w:tr>
      <w:tr w14:paraId="57E85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630" w:hRule="atLeast"/>
        </w:trPr>
        <w:tc>
          <w:tcPr>
            <w:tcW w:w="909" w:type="pct"/>
            <w:vMerge w:val="continue"/>
            <w:shd w:val="clear" w:color="auto" w:fill="auto"/>
            <w:vAlign w:val="center"/>
          </w:tcPr>
          <w:p w14:paraId="345D0AA0">
            <w:pPr>
              <w:pStyle w:val="11"/>
              <w:kinsoku/>
              <w:topLinePunct/>
              <w:autoSpaceDE/>
              <w:autoSpaceDN/>
              <w:jc w:val="left"/>
              <w:rPr>
                <w:rFonts w:ascii="Times New Roman" w:hAnsi="Times New Roman" w:eastAsia="仿宋" w:cs="Times New Roman"/>
                <w:color w:val="auto"/>
                <w:sz w:val="24"/>
                <w:szCs w:val="24"/>
              </w:rPr>
            </w:pPr>
          </w:p>
        </w:tc>
        <w:tc>
          <w:tcPr>
            <w:tcW w:w="429" w:type="pct"/>
            <w:vMerge w:val="continue"/>
            <w:shd w:val="clear" w:color="auto" w:fill="auto"/>
            <w:vAlign w:val="center"/>
          </w:tcPr>
          <w:p w14:paraId="5C5FE255">
            <w:pPr>
              <w:pStyle w:val="11"/>
              <w:kinsoku/>
              <w:topLinePunct/>
              <w:autoSpaceDE/>
              <w:autoSpaceDN/>
              <w:rPr>
                <w:rFonts w:ascii="Times New Roman" w:hAnsi="Times New Roman" w:eastAsia="仿宋" w:cs="Times New Roman"/>
                <w:color w:val="auto"/>
                <w:sz w:val="24"/>
                <w:szCs w:val="24"/>
              </w:rPr>
            </w:pPr>
          </w:p>
        </w:tc>
        <w:tc>
          <w:tcPr>
            <w:tcW w:w="1029" w:type="pct"/>
            <w:vMerge w:val="continue"/>
            <w:shd w:val="clear" w:color="auto" w:fill="auto"/>
            <w:vAlign w:val="center"/>
          </w:tcPr>
          <w:p w14:paraId="4039EE88">
            <w:pPr>
              <w:pStyle w:val="11"/>
              <w:kinsoku/>
              <w:topLinePunct/>
              <w:autoSpaceDE/>
              <w:autoSpaceDN/>
              <w:rPr>
                <w:rFonts w:ascii="Times New Roman" w:hAnsi="Times New Roman" w:eastAsia="仿宋" w:cs="Times New Roman"/>
                <w:color w:val="auto"/>
                <w:sz w:val="24"/>
                <w:szCs w:val="24"/>
              </w:rPr>
            </w:pPr>
          </w:p>
        </w:tc>
        <w:tc>
          <w:tcPr>
            <w:tcW w:w="871" w:type="pct"/>
            <w:vMerge w:val="continue"/>
            <w:shd w:val="clear" w:color="auto" w:fill="auto"/>
            <w:vAlign w:val="center"/>
          </w:tcPr>
          <w:p w14:paraId="3601C291">
            <w:pPr>
              <w:pStyle w:val="11"/>
              <w:kinsoku/>
              <w:topLinePunct/>
              <w:autoSpaceDE/>
              <w:autoSpaceDN/>
              <w:rPr>
                <w:rFonts w:ascii="Times New Roman" w:hAnsi="Times New Roman" w:eastAsia="仿宋" w:cs="Times New Roman"/>
                <w:color w:val="auto"/>
                <w:sz w:val="24"/>
                <w:szCs w:val="24"/>
              </w:rPr>
            </w:pPr>
          </w:p>
        </w:tc>
        <w:tc>
          <w:tcPr>
            <w:tcW w:w="776" w:type="pct"/>
            <w:shd w:val="clear" w:color="auto" w:fill="auto"/>
            <w:vAlign w:val="center"/>
          </w:tcPr>
          <w:p w14:paraId="361AC4A3">
            <w:pPr>
              <w:pStyle w:val="11"/>
              <w:kinsoku/>
              <w:topLinePunct/>
              <w:autoSpaceDE/>
              <w:autoSpaceDN/>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rPr>
              <w:t>砲台社区</w:t>
            </w:r>
          </w:p>
        </w:tc>
        <w:tc>
          <w:tcPr>
            <w:tcW w:w="982" w:type="pct"/>
            <w:shd w:val="clear" w:color="auto" w:fill="auto"/>
            <w:vAlign w:val="center"/>
          </w:tcPr>
          <w:p w14:paraId="3A22D851">
            <w:pPr>
              <w:pStyle w:val="11"/>
              <w:kinsoku/>
              <w:topLinePunct/>
              <w:autoSpaceDE/>
              <w:autoSpaceDN/>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rPr>
              <w:t>约</w:t>
            </w:r>
            <w:r>
              <w:rPr>
                <w:rFonts w:ascii="Times New Roman" w:hAnsi="Times New Roman" w:eastAsia="仿宋" w:cs="Times New Roman"/>
                <w:color w:val="auto"/>
                <w:sz w:val="24"/>
                <w:szCs w:val="24"/>
              </w:rPr>
              <w:t>98</w:t>
            </w:r>
            <w:r>
              <w:rPr>
                <w:rFonts w:hint="eastAsia" w:ascii="Times New Roman" w:hAnsi="Times New Roman" w:eastAsia="仿宋" w:cs="Times New Roman"/>
                <w:color w:val="auto"/>
                <w:sz w:val="24"/>
                <w:szCs w:val="24"/>
              </w:rPr>
              <w:t>米</w:t>
            </w:r>
          </w:p>
        </w:tc>
      </w:tr>
      <w:tr w14:paraId="420C8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630" w:hRule="atLeast"/>
        </w:trPr>
        <w:tc>
          <w:tcPr>
            <w:tcW w:w="909" w:type="pct"/>
            <w:vMerge w:val="continue"/>
            <w:shd w:val="clear" w:color="auto" w:fill="auto"/>
            <w:vAlign w:val="center"/>
          </w:tcPr>
          <w:p w14:paraId="57225007">
            <w:pPr>
              <w:pStyle w:val="11"/>
              <w:kinsoku/>
              <w:topLinePunct/>
              <w:autoSpaceDE/>
              <w:autoSpaceDN/>
              <w:jc w:val="left"/>
              <w:rPr>
                <w:rFonts w:ascii="Times New Roman" w:hAnsi="Times New Roman" w:eastAsia="仿宋" w:cs="Times New Roman"/>
                <w:color w:val="auto"/>
                <w:sz w:val="24"/>
                <w:szCs w:val="24"/>
              </w:rPr>
            </w:pPr>
          </w:p>
        </w:tc>
        <w:tc>
          <w:tcPr>
            <w:tcW w:w="429" w:type="pct"/>
            <w:vMerge w:val="continue"/>
            <w:shd w:val="clear" w:color="auto" w:fill="auto"/>
            <w:vAlign w:val="center"/>
          </w:tcPr>
          <w:p w14:paraId="22991345">
            <w:pPr>
              <w:pStyle w:val="11"/>
              <w:kinsoku/>
              <w:topLinePunct/>
              <w:autoSpaceDE/>
              <w:autoSpaceDN/>
              <w:rPr>
                <w:rFonts w:ascii="Times New Roman" w:hAnsi="Times New Roman" w:eastAsia="仿宋" w:cs="Times New Roman"/>
                <w:color w:val="auto"/>
                <w:sz w:val="24"/>
                <w:szCs w:val="24"/>
              </w:rPr>
            </w:pPr>
          </w:p>
        </w:tc>
        <w:tc>
          <w:tcPr>
            <w:tcW w:w="1029" w:type="pct"/>
            <w:vMerge w:val="continue"/>
            <w:shd w:val="clear" w:color="auto" w:fill="auto"/>
            <w:vAlign w:val="center"/>
          </w:tcPr>
          <w:p w14:paraId="00E6C9F6">
            <w:pPr>
              <w:pStyle w:val="11"/>
              <w:kinsoku/>
              <w:topLinePunct/>
              <w:autoSpaceDE/>
              <w:autoSpaceDN/>
              <w:rPr>
                <w:rFonts w:ascii="Times New Roman" w:hAnsi="Times New Roman" w:eastAsia="仿宋" w:cs="Times New Roman"/>
                <w:color w:val="auto"/>
                <w:sz w:val="24"/>
                <w:szCs w:val="24"/>
              </w:rPr>
            </w:pPr>
          </w:p>
        </w:tc>
        <w:tc>
          <w:tcPr>
            <w:tcW w:w="871" w:type="pct"/>
            <w:vMerge w:val="continue"/>
            <w:shd w:val="clear" w:color="auto" w:fill="auto"/>
            <w:vAlign w:val="center"/>
          </w:tcPr>
          <w:p w14:paraId="4770CBC7">
            <w:pPr>
              <w:pStyle w:val="11"/>
              <w:kinsoku/>
              <w:topLinePunct/>
              <w:autoSpaceDE/>
              <w:autoSpaceDN/>
              <w:rPr>
                <w:rFonts w:ascii="Times New Roman" w:hAnsi="Times New Roman" w:eastAsia="仿宋" w:cs="Times New Roman"/>
                <w:color w:val="auto"/>
                <w:sz w:val="24"/>
                <w:szCs w:val="24"/>
              </w:rPr>
            </w:pPr>
          </w:p>
        </w:tc>
        <w:tc>
          <w:tcPr>
            <w:tcW w:w="776" w:type="pct"/>
            <w:shd w:val="clear" w:color="auto" w:fill="auto"/>
            <w:vAlign w:val="center"/>
          </w:tcPr>
          <w:p w14:paraId="1D79FC7B">
            <w:pPr>
              <w:pStyle w:val="11"/>
              <w:kinsoku/>
              <w:topLinePunct/>
              <w:autoSpaceDE/>
              <w:autoSpaceDN/>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rPr>
              <w:t>桃山村</w:t>
            </w:r>
          </w:p>
        </w:tc>
        <w:tc>
          <w:tcPr>
            <w:tcW w:w="982" w:type="pct"/>
            <w:shd w:val="clear" w:color="auto" w:fill="auto"/>
            <w:vAlign w:val="center"/>
          </w:tcPr>
          <w:p w14:paraId="47A6410C">
            <w:pPr>
              <w:pStyle w:val="11"/>
              <w:kinsoku/>
              <w:topLinePunct/>
              <w:autoSpaceDE/>
              <w:autoSpaceDN/>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rPr>
              <w:t>约9</w:t>
            </w:r>
            <w:r>
              <w:rPr>
                <w:rFonts w:ascii="Times New Roman" w:hAnsi="Times New Roman" w:eastAsia="仿宋" w:cs="Times New Roman"/>
                <w:color w:val="auto"/>
                <w:sz w:val="24"/>
                <w:szCs w:val="24"/>
              </w:rPr>
              <w:t>80</w:t>
            </w:r>
            <w:r>
              <w:rPr>
                <w:rFonts w:hint="eastAsia" w:ascii="Times New Roman" w:hAnsi="Times New Roman" w:eastAsia="仿宋" w:cs="Times New Roman"/>
                <w:color w:val="auto"/>
                <w:sz w:val="24"/>
                <w:szCs w:val="24"/>
              </w:rPr>
              <w:t>米</w:t>
            </w:r>
          </w:p>
        </w:tc>
      </w:tr>
      <w:tr w14:paraId="7F53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630" w:hRule="atLeast"/>
        </w:trPr>
        <w:tc>
          <w:tcPr>
            <w:tcW w:w="909" w:type="pct"/>
            <w:vMerge w:val="continue"/>
            <w:shd w:val="clear" w:color="auto" w:fill="auto"/>
            <w:vAlign w:val="center"/>
          </w:tcPr>
          <w:p w14:paraId="1E33C1E6">
            <w:pPr>
              <w:pStyle w:val="11"/>
              <w:kinsoku/>
              <w:topLinePunct/>
              <w:autoSpaceDE/>
              <w:autoSpaceDN/>
              <w:jc w:val="left"/>
              <w:rPr>
                <w:rFonts w:ascii="Times New Roman" w:hAnsi="Times New Roman" w:eastAsia="仿宋" w:cs="Times New Roman"/>
                <w:color w:val="auto"/>
                <w:sz w:val="24"/>
                <w:szCs w:val="24"/>
              </w:rPr>
            </w:pPr>
          </w:p>
        </w:tc>
        <w:tc>
          <w:tcPr>
            <w:tcW w:w="429" w:type="pct"/>
            <w:vMerge w:val="continue"/>
            <w:shd w:val="clear" w:color="auto" w:fill="auto"/>
            <w:vAlign w:val="center"/>
          </w:tcPr>
          <w:p w14:paraId="1B59A144">
            <w:pPr>
              <w:pStyle w:val="11"/>
              <w:kinsoku/>
              <w:topLinePunct/>
              <w:autoSpaceDE/>
              <w:autoSpaceDN/>
              <w:rPr>
                <w:rFonts w:ascii="Times New Roman" w:hAnsi="Times New Roman" w:eastAsia="仿宋" w:cs="Times New Roman"/>
                <w:color w:val="auto"/>
                <w:sz w:val="24"/>
                <w:szCs w:val="24"/>
              </w:rPr>
            </w:pPr>
          </w:p>
        </w:tc>
        <w:tc>
          <w:tcPr>
            <w:tcW w:w="1029" w:type="pct"/>
            <w:vMerge w:val="continue"/>
            <w:shd w:val="clear" w:color="auto" w:fill="auto"/>
            <w:vAlign w:val="center"/>
          </w:tcPr>
          <w:p w14:paraId="5BE7F587">
            <w:pPr>
              <w:pStyle w:val="11"/>
              <w:kinsoku/>
              <w:topLinePunct/>
              <w:autoSpaceDE/>
              <w:autoSpaceDN/>
              <w:rPr>
                <w:rFonts w:ascii="Times New Roman" w:hAnsi="Times New Roman" w:eastAsia="仿宋" w:cs="Times New Roman"/>
                <w:color w:val="auto"/>
                <w:sz w:val="24"/>
                <w:szCs w:val="24"/>
              </w:rPr>
            </w:pPr>
          </w:p>
        </w:tc>
        <w:tc>
          <w:tcPr>
            <w:tcW w:w="871" w:type="pct"/>
            <w:shd w:val="clear" w:color="auto" w:fill="auto"/>
            <w:vAlign w:val="center"/>
          </w:tcPr>
          <w:p w14:paraId="799DEE01">
            <w:pPr>
              <w:pStyle w:val="11"/>
              <w:kinsoku/>
              <w:topLinePunct/>
              <w:autoSpaceDE/>
              <w:autoSpaceDN/>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rPr>
              <w:t>揭阳市榕城区砲台镇农村人居环境整治及基础设施配套建设项目（第一期）</w:t>
            </w:r>
          </w:p>
        </w:tc>
        <w:tc>
          <w:tcPr>
            <w:tcW w:w="776" w:type="pct"/>
            <w:shd w:val="clear" w:color="auto" w:fill="auto"/>
            <w:vAlign w:val="center"/>
          </w:tcPr>
          <w:p w14:paraId="07C90BB6">
            <w:pPr>
              <w:pStyle w:val="11"/>
              <w:kinsoku/>
              <w:topLinePunct/>
              <w:autoSpaceDE/>
              <w:autoSpaceDN/>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砲台社区、新市村</w:t>
            </w:r>
          </w:p>
        </w:tc>
        <w:tc>
          <w:tcPr>
            <w:tcW w:w="982" w:type="pct"/>
            <w:shd w:val="clear" w:color="auto" w:fill="auto"/>
            <w:vAlign w:val="center"/>
          </w:tcPr>
          <w:p w14:paraId="62F205FF">
            <w:pPr>
              <w:pStyle w:val="11"/>
              <w:kinsoku/>
              <w:topLinePunct/>
              <w:autoSpaceDE/>
              <w:autoSpaceDN/>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约2000米</w:t>
            </w:r>
          </w:p>
        </w:tc>
      </w:tr>
      <w:tr w14:paraId="22D72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402" w:hRule="atLeast"/>
        </w:trPr>
        <w:tc>
          <w:tcPr>
            <w:tcW w:w="909" w:type="pct"/>
            <w:vMerge w:val="continue"/>
            <w:shd w:val="clear" w:color="auto" w:fill="auto"/>
            <w:vAlign w:val="center"/>
          </w:tcPr>
          <w:p w14:paraId="3304280C">
            <w:pPr>
              <w:pStyle w:val="11"/>
              <w:kinsoku/>
              <w:topLinePunct/>
              <w:autoSpaceDE/>
              <w:autoSpaceDN/>
              <w:ind w:firstLine="480"/>
              <w:rPr>
                <w:rFonts w:ascii="Times New Roman" w:hAnsi="Times New Roman" w:eastAsia="仿宋" w:cs="Times New Roman"/>
                <w:color w:val="auto"/>
                <w:sz w:val="24"/>
                <w:szCs w:val="24"/>
                <w:highlight w:val="yellow"/>
              </w:rPr>
            </w:pPr>
          </w:p>
        </w:tc>
        <w:tc>
          <w:tcPr>
            <w:tcW w:w="429" w:type="pct"/>
            <w:vMerge w:val="continue"/>
            <w:shd w:val="clear" w:color="auto" w:fill="auto"/>
            <w:vAlign w:val="center"/>
          </w:tcPr>
          <w:p w14:paraId="74386E3B">
            <w:pPr>
              <w:pStyle w:val="11"/>
              <w:kinsoku/>
              <w:topLinePunct/>
              <w:autoSpaceDE/>
              <w:autoSpaceDN/>
              <w:jc w:val="left"/>
              <w:rPr>
                <w:rFonts w:ascii="Times New Roman" w:hAnsi="Times New Roman" w:eastAsia="仿宋" w:cs="Times New Roman"/>
                <w:color w:val="auto"/>
                <w:sz w:val="24"/>
                <w:szCs w:val="24"/>
                <w:highlight w:val="yellow"/>
              </w:rPr>
            </w:pPr>
          </w:p>
        </w:tc>
        <w:tc>
          <w:tcPr>
            <w:tcW w:w="1029" w:type="pct"/>
            <w:vMerge w:val="continue"/>
            <w:shd w:val="clear" w:color="auto" w:fill="auto"/>
            <w:vAlign w:val="center"/>
          </w:tcPr>
          <w:p w14:paraId="7ACEA6B2">
            <w:pPr>
              <w:pStyle w:val="11"/>
              <w:kinsoku/>
              <w:topLinePunct/>
              <w:autoSpaceDE/>
              <w:autoSpaceDN/>
              <w:jc w:val="left"/>
              <w:rPr>
                <w:rFonts w:ascii="Times New Roman" w:hAnsi="Times New Roman" w:eastAsia="仿宋" w:cs="Times New Roman"/>
                <w:color w:val="auto"/>
                <w:sz w:val="24"/>
                <w:szCs w:val="24"/>
                <w:highlight w:val="yellow"/>
              </w:rPr>
            </w:pPr>
          </w:p>
        </w:tc>
        <w:tc>
          <w:tcPr>
            <w:tcW w:w="1648" w:type="pct"/>
            <w:gridSpan w:val="2"/>
            <w:shd w:val="clear" w:color="auto" w:fill="auto"/>
            <w:vAlign w:val="center"/>
          </w:tcPr>
          <w:p w14:paraId="148399F4">
            <w:pPr>
              <w:pStyle w:val="11"/>
              <w:kinsoku/>
              <w:topLinePunct/>
              <w:autoSpaceDE/>
              <w:autoSpaceDN/>
              <w:rPr>
                <w:rFonts w:hint="eastAsia" w:ascii="Times New Roman" w:hAnsi="Times New Roman" w:eastAsia="仿宋" w:cs="Times New Roman"/>
                <w:color w:val="auto"/>
                <w:sz w:val="24"/>
                <w:szCs w:val="24"/>
                <w:lang w:val="en-US" w:eastAsia="zh-CN"/>
              </w:rPr>
            </w:pPr>
            <w:r>
              <w:rPr>
                <w:rFonts w:hint="eastAsia" w:eastAsia="仿宋" w:cs="Times New Roman"/>
                <w:color w:val="auto"/>
                <w:sz w:val="24"/>
                <w:szCs w:val="24"/>
                <w:lang w:val="en-US" w:eastAsia="zh-CN"/>
              </w:rPr>
              <w:t>小计</w:t>
            </w:r>
          </w:p>
        </w:tc>
        <w:tc>
          <w:tcPr>
            <w:tcW w:w="982" w:type="pct"/>
            <w:shd w:val="clear" w:color="auto" w:fill="auto"/>
            <w:vAlign w:val="center"/>
          </w:tcPr>
          <w:p w14:paraId="5CC22B51">
            <w:pPr>
              <w:pStyle w:val="11"/>
              <w:kinsoku/>
              <w:topLinePunct/>
              <w:autoSpaceDE/>
              <w:autoSpaceDN/>
              <w:rPr>
                <w:rFonts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rPr>
              <w:t>约</w:t>
            </w:r>
            <w:r>
              <w:rPr>
                <w:rFonts w:hint="eastAsia" w:ascii="Times New Roman" w:hAnsi="Times New Roman" w:eastAsia="仿宋" w:cs="Times New Roman"/>
                <w:color w:val="auto"/>
                <w:sz w:val="24"/>
                <w:szCs w:val="24"/>
                <w:lang w:val="en-US" w:eastAsia="zh-CN"/>
              </w:rPr>
              <w:t>7</w:t>
            </w:r>
            <w:r>
              <w:rPr>
                <w:rFonts w:ascii="Times New Roman" w:hAnsi="Times New Roman" w:eastAsia="仿宋" w:cs="Times New Roman"/>
                <w:color w:val="auto"/>
                <w:sz w:val="24"/>
                <w:szCs w:val="24"/>
              </w:rPr>
              <w:t>287</w:t>
            </w:r>
            <w:r>
              <w:rPr>
                <w:rFonts w:hint="eastAsia" w:ascii="Times New Roman" w:hAnsi="Times New Roman" w:eastAsia="仿宋" w:cs="Times New Roman"/>
                <w:color w:val="auto"/>
                <w:sz w:val="24"/>
                <w:szCs w:val="24"/>
              </w:rPr>
              <w:t>米</w:t>
            </w:r>
          </w:p>
        </w:tc>
      </w:tr>
    </w:tbl>
    <w:p w14:paraId="56462ADB">
      <w:pPr>
        <w:rPr>
          <w:rFonts w:hint="eastAsia" w:ascii="仿宋_GB2312"/>
          <w:kern w:val="0"/>
          <w:szCs w:val="32"/>
        </w:rPr>
      </w:pPr>
    </w:p>
    <w:p w14:paraId="5CEA92C4">
      <w:pPr>
        <w:ind w:firstLine="640" w:firstLineChars="200"/>
        <w:rPr>
          <w:rFonts w:ascii="仿宋_GB2312"/>
          <w:kern w:val="0"/>
          <w:szCs w:val="32"/>
        </w:rPr>
      </w:pPr>
    </w:p>
    <w:p w14:paraId="2E0D5DF1">
      <w:pPr>
        <w:rPr>
          <w:rFonts w:ascii="仿宋_GB2312"/>
          <w:kern w:val="0"/>
          <w:szCs w:val="32"/>
        </w:rPr>
        <w:sectPr>
          <w:pgSz w:w="11906" w:h="16838"/>
          <w:pgMar w:top="1440" w:right="1474" w:bottom="1440" w:left="1474" w:header="851" w:footer="992" w:gutter="0"/>
          <w:cols w:space="425" w:num="1"/>
          <w:docGrid w:type="lines" w:linePitch="312" w:charSpace="0"/>
        </w:sectPr>
      </w:pPr>
    </w:p>
    <w:p w14:paraId="51D9C03D">
      <w:pPr>
        <w:rPr>
          <w:rFonts w:ascii="仿宋_GB2312"/>
          <w:kern w:val="0"/>
          <w:szCs w:val="32"/>
        </w:rPr>
        <w:sectPr>
          <w:pgSz w:w="16838" w:h="11906" w:orient="landscape"/>
          <w:pgMar w:top="0" w:right="0" w:bottom="1474" w:left="0" w:header="851" w:footer="992" w:gutter="0"/>
          <w:cols w:space="425" w:num="1"/>
          <w:docGrid w:type="lines" w:linePitch="312" w:charSpace="0"/>
        </w:sectPr>
      </w:pPr>
      <w:r>
        <w:drawing>
          <wp:inline distT="0" distB="0" distL="114300" distR="114300">
            <wp:extent cx="10690860" cy="7579995"/>
            <wp:effectExtent l="0" t="0" r="152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10690860" cy="7579995"/>
                    </a:xfrm>
                    <a:prstGeom prst="rect">
                      <a:avLst/>
                    </a:prstGeom>
                    <a:noFill/>
                    <a:ln>
                      <a:noFill/>
                    </a:ln>
                  </pic:spPr>
                </pic:pic>
              </a:graphicData>
            </a:graphic>
          </wp:inline>
        </w:drawing>
      </w:r>
    </w:p>
    <w:p w14:paraId="29B0CE43">
      <w:pPr>
        <w:rPr>
          <w:rFonts w:ascii="仿宋_GB2312"/>
          <w:kern w:val="0"/>
          <w:szCs w:val="32"/>
        </w:rPr>
      </w:pPr>
      <w:r>
        <w:drawing>
          <wp:inline distT="0" distB="0" distL="114300" distR="114300">
            <wp:extent cx="10554335" cy="7442200"/>
            <wp:effectExtent l="0" t="0" r="1841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10554335" cy="7442200"/>
                    </a:xfrm>
                    <a:prstGeom prst="rect">
                      <a:avLst/>
                    </a:prstGeom>
                    <a:noFill/>
                    <a:ln>
                      <a:noFill/>
                    </a:ln>
                  </pic:spPr>
                </pic:pic>
              </a:graphicData>
            </a:graphic>
          </wp:inline>
        </w:drawing>
      </w:r>
    </w:p>
    <w:sectPr>
      <w:pgSz w:w="16838" w:h="11906" w:orient="landscape"/>
      <w:pgMar w:top="0" w:right="1440" w:bottom="0" w:left="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A5D"/>
    <w:rsid w:val="000C5A5D"/>
    <w:rsid w:val="00143D93"/>
    <w:rsid w:val="004446F7"/>
    <w:rsid w:val="005A3BD3"/>
    <w:rsid w:val="006737A5"/>
    <w:rsid w:val="00695921"/>
    <w:rsid w:val="00742739"/>
    <w:rsid w:val="00CA6A96"/>
    <w:rsid w:val="00D2315E"/>
    <w:rsid w:val="00FA34CC"/>
    <w:rsid w:val="073541D7"/>
    <w:rsid w:val="094935D5"/>
    <w:rsid w:val="0F9D5A7F"/>
    <w:rsid w:val="10964C08"/>
    <w:rsid w:val="199D068E"/>
    <w:rsid w:val="1AB07674"/>
    <w:rsid w:val="20112BF3"/>
    <w:rsid w:val="234C3ABB"/>
    <w:rsid w:val="2DEE2BBA"/>
    <w:rsid w:val="2F3F0E88"/>
    <w:rsid w:val="307422C7"/>
    <w:rsid w:val="3D1A10AD"/>
    <w:rsid w:val="3FCB0789"/>
    <w:rsid w:val="4505569D"/>
    <w:rsid w:val="49115557"/>
    <w:rsid w:val="4BDD13B5"/>
    <w:rsid w:val="533C1422"/>
    <w:rsid w:val="54D97871"/>
    <w:rsid w:val="55013EFA"/>
    <w:rsid w:val="5D944335"/>
    <w:rsid w:val="5FC53656"/>
    <w:rsid w:val="5FF91EEE"/>
    <w:rsid w:val="735A4220"/>
    <w:rsid w:val="74E9122F"/>
    <w:rsid w:val="767C1B65"/>
    <w:rsid w:val="77C55B1E"/>
    <w:rsid w:val="7C605F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2"/>
      <w:lang w:val="en-US" w:eastAsia="zh-CN" w:bidi="ar-SA"/>
    </w:rPr>
  </w:style>
  <w:style w:type="paragraph" w:styleId="2">
    <w:name w:val="heading 1"/>
    <w:basedOn w:val="1"/>
    <w:qFormat/>
    <w:uiPriority w:val="1"/>
    <w:pPr>
      <w:spacing w:line="561" w:lineRule="exact"/>
      <w:ind w:left="294" w:right="453"/>
      <w:jc w:val="center"/>
      <w:outlineLvl w:val="0"/>
    </w:pPr>
    <w:rPr>
      <w:rFonts w:ascii="宋体" w:hAnsi="宋体" w:eastAsia="宋体" w:cs="宋体"/>
      <w:sz w:val="44"/>
      <w:szCs w:val="44"/>
      <w:lang w:val="zh-CN" w:bidi="zh-CN"/>
    </w:rPr>
  </w:style>
  <w:style w:type="paragraph" w:styleId="3">
    <w:name w:val="heading 2"/>
    <w:basedOn w:val="1"/>
    <w:qFormat/>
    <w:uiPriority w:val="1"/>
    <w:pPr>
      <w:ind w:left="761"/>
      <w:outlineLvl w:val="1"/>
    </w:pPr>
    <w:rPr>
      <w:rFonts w:ascii="黑体" w:hAnsi="黑体" w:eastAsia="黑体" w:cs="黑体"/>
      <w:szCs w:val="32"/>
      <w:lang w:val="zh-CN" w:bidi="zh-CN"/>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0"/>
    <w:qFormat/>
    <w:uiPriority w:val="0"/>
    <w:pPr>
      <w:tabs>
        <w:tab w:val="center" w:pos="4153"/>
        <w:tab w:val="right" w:pos="8306"/>
      </w:tabs>
      <w:snapToGrid w:val="0"/>
      <w:jc w:val="left"/>
    </w:pPr>
    <w:rPr>
      <w:sz w:val="18"/>
      <w:szCs w:val="18"/>
    </w:rPr>
  </w:style>
  <w:style w:type="paragraph" w:styleId="5">
    <w:name w:val="header"/>
    <w:basedOn w:val="1"/>
    <w:link w:val="9"/>
    <w:qFormat/>
    <w:uiPriority w:val="0"/>
    <w:pPr>
      <w:tabs>
        <w:tab w:val="center" w:pos="4153"/>
        <w:tab w:val="right" w:pos="8306"/>
      </w:tabs>
      <w:snapToGrid w:val="0"/>
      <w:jc w:val="center"/>
    </w:pPr>
    <w:rPr>
      <w:sz w:val="18"/>
      <w:szCs w:val="18"/>
    </w:rPr>
  </w:style>
  <w:style w:type="paragraph" w:styleId="6">
    <w:name w:val="toc 2"/>
    <w:basedOn w:val="1"/>
    <w:next w:val="1"/>
    <w:qFormat/>
    <w:uiPriority w:val="0"/>
    <w:pPr>
      <w:ind w:left="420" w:leftChars="200"/>
    </w:pPr>
  </w:style>
  <w:style w:type="character" w:customStyle="1" w:styleId="9">
    <w:name w:val="页眉 字符"/>
    <w:basedOn w:val="8"/>
    <w:link w:val="5"/>
    <w:qFormat/>
    <w:uiPriority w:val="0"/>
    <w:rPr>
      <w:rFonts w:eastAsia="仿宋_GB2312"/>
      <w:kern w:val="2"/>
      <w:sz w:val="18"/>
      <w:szCs w:val="18"/>
    </w:rPr>
  </w:style>
  <w:style w:type="character" w:customStyle="1" w:styleId="10">
    <w:name w:val="页脚 字符"/>
    <w:basedOn w:val="8"/>
    <w:link w:val="4"/>
    <w:qFormat/>
    <w:uiPriority w:val="0"/>
    <w:rPr>
      <w:rFonts w:eastAsia="仿宋_GB2312"/>
      <w:kern w:val="2"/>
      <w:sz w:val="18"/>
      <w:szCs w:val="18"/>
    </w:rPr>
  </w:style>
  <w:style w:type="paragraph" w:customStyle="1" w:styleId="11">
    <w:name w:val="表格"/>
    <w:basedOn w:val="1"/>
    <w:qFormat/>
    <w:uiPriority w:val="0"/>
    <w:pPr>
      <w:jc w:val="center"/>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1747</Words>
  <Characters>1772</Characters>
  <Lines>12</Lines>
  <Paragraphs>3</Paragraphs>
  <TotalTime>3</TotalTime>
  <ScaleCrop>false</ScaleCrop>
  <LinksUpToDate>false</LinksUpToDate>
  <CharactersWithSpaces>1777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2025-07-07T19:34:00Z</dcterms:created>
  <dc:creator>Administrator</dc:creator>
  <cp:lastModifiedBy>Sanctuary</cp:lastModifiedBy>
  <dcterms:modified xsi:type="dcterms:W3CDTF">2025-10-24T07:58:17Z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eyJoZGlkIjoiZGQ4ZTA3NWEwY2QyMzEwOGM5MjQ0NDZiZThiYjI0ZDciLCJ1c2VySWQiOiI1NDk2MjgxNzEifQ==</vt:lpwstr>
  </property>
  <property fmtid="{D5CDD505-2E9C-101B-9397-08002B2CF9AE}" pid="4" name="ICV">
    <vt:lpwstr>3A036E959D94419187EF85C40F501EAE_12</vt:lpwstr>
  </property>
</Properties>
</file>