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5B741">
      <w:pPr>
        <w:spacing w:line="540" w:lineRule="exact"/>
        <w:rPr>
          <w:rFonts w:ascii="仿宋" w:hAnsi="仿宋" w:eastAsia="仿宋" w:cs="仿宋"/>
        </w:rPr>
      </w:pPr>
    </w:p>
    <w:p w14:paraId="5456FBB8">
      <w:pPr>
        <w:pStyle w:val="2"/>
      </w:pPr>
    </w:p>
    <w:p w14:paraId="4E8A6F44">
      <w:pPr>
        <w:pStyle w:val="2"/>
      </w:pPr>
    </w:p>
    <w:p w14:paraId="4125D4C1">
      <w:pPr>
        <w:pStyle w:val="2"/>
      </w:pPr>
    </w:p>
    <w:p w14:paraId="11A3219F">
      <w:pPr>
        <w:pStyle w:val="2"/>
      </w:pPr>
    </w:p>
    <w:p w14:paraId="0BD03002">
      <w:pPr>
        <w:pStyle w:val="2"/>
      </w:pPr>
    </w:p>
    <w:p w14:paraId="30064743">
      <w:pPr>
        <w:pStyle w:val="2"/>
      </w:pPr>
    </w:p>
    <w:p w14:paraId="08C8551F">
      <w:pPr>
        <w:pStyle w:val="2"/>
      </w:pPr>
    </w:p>
    <w:p w14:paraId="288BBD6F">
      <w:pPr>
        <w:pStyle w:val="2"/>
      </w:pPr>
    </w:p>
    <w:p w14:paraId="2CE0C4B7">
      <w:pPr>
        <w:pStyle w:val="2"/>
      </w:pPr>
    </w:p>
    <w:p w14:paraId="5D82E9B6">
      <w:pPr>
        <w:spacing w:line="540" w:lineRule="exact"/>
        <w:rPr>
          <w:rFonts w:ascii="仿宋" w:hAnsi="仿宋" w:eastAsia="仿宋" w:cs="仿宋"/>
        </w:rPr>
      </w:pPr>
    </w:p>
    <w:p w14:paraId="7D1F2D94">
      <w:pPr>
        <w:pStyle w:val="2"/>
        <w:rPr>
          <w:rFonts w:ascii="仿宋" w:hAnsi="仿宋" w:eastAsia="仿宋" w:cs="仿宋"/>
          <w:highlight w:val="none"/>
        </w:rPr>
      </w:pPr>
    </w:p>
    <w:p w14:paraId="02179511">
      <w:pPr>
        <w:pStyle w:val="2"/>
        <w:rPr>
          <w:rFonts w:ascii="仿宋" w:hAnsi="仿宋" w:eastAsia="仿宋" w:cs="仿宋"/>
          <w:highlight w:val="none"/>
        </w:rPr>
      </w:pPr>
    </w:p>
    <w:p w14:paraId="27D533BC">
      <w:pPr>
        <w:pStyle w:val="2"/>
        <w:rPr>
          <w:rFonts w:ascii="仿宋" w:hAnsi="仿宋" w:eastAsia="仿宋" w:cs="仿宋"/>
          <w:highlight w:val="none"/>
        </w:rPr>
      </w:pPr>
    </w:p>
    <w:p w14:paraId="0283DE6F">
      <w:pPr>
        <w:pStyle w:val="2"/>
        <w:rPr>
          <w:rFonts w:ascii="仿宋" w:hAnsi="仿宋" w:eastAsia="仿宋" w:cs="仿宋"/>
          <w:highlight w:val="none"/>
        </w:rPr>
      </w:pPr>
    </w:p>
    <w:p w14:paraId="1D179AD0">
      <w:pPr>
        <w:pStyle w:val="2"/>
        <w:rPr>
          <w:rFonts w:ascii="仿宋" w:hAnsi="仿宋" w:eastAsia="仿宋" w:cs="仿宋"/>
          <w:highlight w:val="none"/>
        </w:rPr>
      </w:pPr>
    </w:p>
    <w:p w14:paraId="5C35E5B9">
      <w:pPr>
        <w:spacing w:line="600" w:lineRule="exact"/>
        <w:jc w:val="center"/>
        <w:rPr>
          <w:rFonts w:ascii="仿宋_GB2312" w:eastAsia="仿宋_GB2312"/>
          <w:sz w:val="32"/>
          <w:szCs w:val="32"/>
          <w:highlight w:val="none"/>
        </w:rPr>
      </w:pPr>
      <w:r>
        <w:rPr>
          <w:rFonts w:hint="eastAsia" w:ascii="仿宋_GB2312" w:eastAsia="仿宋_GB2312"/>
          <w:sz w:val="32"/>
          <w:szCs w:val="32"/>
          <w:highlight w:val="none"/>
        </w:rPr>
        <w:t>榕华工委〔202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号</w:t>
      </w:r>
    </w:p>
    <w:p w14:paraId="589733CA">
      <w:pPr>
        <w:spacing w:afterLines="50" w:line="800" w:lineRule="exact"/>
        <w:rPr>
          <w:rFonts w:ascii="仿宋" w:hAnsi="仿宋" w:eastAsia="仿宋" w:cs="仿宋"/>
          <w:highlight w:val="none"/>
        </w:rPr>
      </w:pPr>
    </w:p>
    <w:p w14:paraId="541FC0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sz w:val="44"/>
          <w:szCs w:val="44"/>
        </w:rPr>
        <w:t>榕城区</w:t>
      </w:r>
      <w:r>
        <w:rPr>
          <w:rFonts w:hint="eastAsia" w:ascii="方正小标宋简体" w:hAnsi="方正小标宋简体" w:eastAsia="方正小标宋简体" w:cs="方正小标宋简体"/>
          <w:kern w:val="2"/>
          <w:sz w:val="44"/>
          <w:szCs w:val="44"/>
          <w:lang w:val="en-US" w:eastAsia="zh-CN" w:bidi="ar-SA"/>
        </w:rPr>
        <w:t>榕华街道2025年度</w:t>
      </w:r>
    </w:p>
    <w:p w14:paraId="4D561C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法治政府建设年度报告</w:t>
      </w:r>
    </w:p>
    <w:p w14:paraId="4386F2BB">
      <w:pPr>
        <w:pStyle w:val="2"/>
        <w:keepNext w:val="0"/>
        <w:keepLines w:val="0"/>
        <w:pageBreakBefore w:val="0"/>
        <w:widowControl w:val="0"/>
        <w:kinsoku/>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kern w:val="2"/>
          <w:sz w:val="44"/>
          <w:szCs w:val="44"/>
          <w:lang w:val="en-US" w:eastAsia="zh-CN" w:bidi="ar-SA"/>
        </w:rPr>
      </w:pPr>
    </w:p>
    <w:p w14:paraId="0AE0AD9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区委、区政府：</w:t>
      </w:r>
    </w:p>
    <w:p w14:paraId="2CED5C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2025年度，榕华街道（以下简称“街道”）坚持以习近平新时代中国特色社会主义思想为指导，深入贯彻落实</w:t>
      </w:r>
      <w:bookmarkStart w:id="8" w:name="_GoBack"/>
      <w:r>
        <w:rPr>
          <w:rFonts w:hint="eastAsia" w:ascii="仿宋_GB2312" w:hAnsi="仿宋_GB2312" w:eastAsia="仿宋_GB2312" w:cs="仿宋_GB2312"/>
          <w:kern w:val="2"/>
          <w:sz w:val="32"/>
          <w:szCs w:val="32"/>
          <w:lang w:val="en-US" w:eastAsia="zh-CN" w:bidi="ar-SA"/>
        </w:rPr>
        <w:t>党的二十大</w:t>
      </w:r>
      <w:bookmarkEnd w:id="8"/>
      <w:r>
        <w:rPr>
          <w:rFonts w:hint="eastAsia" w:ascii="仿宋_GB2312" w:hAnsi="仿宋_GB2312" w:eastAsia="仿宋_GB2312" w:cs="仿宋_GB2312"/>
          <w:kern w:val="2"/>
          <w:sz w:val="32"/>
          <w:szCs w:val="32"/>
          <w:lang w:val="en-US" w:eastAsia="zh-CN" w:bidi="ar-SA"/>
        </w:rPr>
        <w:t>和二十届四中全会精神，紧紧围绕上级党委、政府关于全面推进法治建设的决策部署，以推进基层治理体系和治理能力现代化为目标，扎实推进法治政府建设各项工作，为辖区经济社会高质量发展提供了坚实法治保障。现将本年度工作情况报告如下：</w:t>
      </w:r>
    </w:p>
    <w:p w14:paraId="2270B9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kern w:val="2"/>
          <w:sz w:val="32"/>
          <w:szCs w:val="32"/>
          <w:lang w:val="en-US" w:eastAsia="zh-CN" w:bidi="ar-SA"/>
        </w:rPr>
      </w:pPr>
      <w:bookmarkStart w:id="0" w:name="heading_0"/>
      <w:r>
        <w:rPr>
          <w:rFonts w:hint="eastAsia" w:ascii="黑体" w:hAnsi="黑体" w:eastAsia="黑体" w:cs="黑体"/>
          <w:kern w:val="2"/>
          <w:sz w:val="32"/>
          <w:szCs w:val="32"/>
          <w:lang w:val="en-US" w:eastAsia="zh-CN" w:bidi="ar-SA"/>
        </w:rPr>
        <w:t>一、2025年度法治政府建设工作开展情况</w:t>
      </w:r>
      <w:bookmarkEnd w:id="0"/>
    </w:p>
    <w:p w14:paraId="1DB548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0"/>
        <w:rPr>
          <w:rFonts w:hint="eastAsia" w:ascii="楷体_GB2312" w:hAnsi="楷体_GB2312" w:eastAsia="楷体_GB2312" w:cs="楷体_GB2312"/>
          <w:b/>
          <w:bCs/>
          <w:kern w:val="2"/>
          <w:sz w:val="32"/>
          <w:szCs w:val="32"/>
          <w:lang w:val="en-US" w:eastAsia="zh-CN" w:bidi="ar-SA"/>
        </w:rPr>
      </w:pPr>
      <w:bookmarkStart w:id="1" w:name="heading_1"/>
      <w:r>
        <w:rPr>
          <w:rFonts w:hint="eastAsia" w:ascii="楷体_GB2312" w:hAnsi="楷体_GB2312" w:eastAsia="楷体_GB2312" w:cs="楷体_GB2312"/>
          <w:b/>
          <w:bCs/>
          <w:kern w:val="2"/>
          <w:sz w:val="32"/>
          <w:szCs w:val="32"/>
          <w:lang w:val="en-US" w:eastAsia="zh-CN" w:bidi="ar-SA"/>
        </w:rPr>
        <w:t>（一）强化组织领导，压实法治建设政治责任</w:t>
      </w:r>
      <w:bookmarkEnd w:id="1"/>
    </w:p>
    <w:p w14:paraId="430059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街道始终将法治政府建设作为重要政治任务，切实发挥党总揽全局、协调各方的领导核心作用，构建起权责清晰、齐抓共管的工作格局。</w:t>
      </w:r>
    </w:p>
    <w:p w14:paraId="1E36B5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val="0"/>
          <w:sz w:val="32"/>
          <w:szCs w:val="32"/>
          <w:lang w:val="en-US" w:eastAsia="zh-CN"/>
        </w:rPr>
        <w:t>1、</w:t>
      </w:r>
      <w:r>
        <w:rPr>
          <w:rFonts w:hint="eastAsia" w:ascii="仿宋_GB2312" w:hAnsi="仿宋_GB2312" w:eastAsia="仿宋_GB2312" w:cs="仿宋_GB2312"/>
          <w:b/>
          <w:bCs w:val="0"/>
          <w:sz w:val="32"/>
          <w:szCs w:val="32"/>
        </w:rPr>
        <w:t>健全领导机制。</w:t>
      </w:r>
      <w:r>
        <w:rPr>
          <w:rFonts w:hint="eastAsia" w:ascii="仿宋_GB2312" w:hAnsi="仿宋_GB2312" w:eastAsia="仿宋_GB2312" w:cs="仿宋_GB2312"/>
          <w:sz w:val="32"/>
          <w:szCs w:val="32"/>
          <w:lang w:val="en-US" w:eastAsia="zh-CN"/>
        </w:rPr>
        <w:t>坚持以《揭阳市榕城区2025年法治政府建设工作要点》为工作指导，班子成员带头履行职责，将法治政府建设工作作为重要政治任务抓好落实，引领全街上下牢固树立法治意识，明确分工职责，狠抓工作落实，确保各项工作序时有效推进、取得实效。</w:t>
      </w:r>
    </w:p>
    <w:p w14:paraId="68D735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val="0"/>
          <w:sz w:val="32"/>
          <w:szCs w:val="32"/>
          <w:lang w:val="en-US" w:eastAsia="zh-CN"/>
        </w:rPr>
        <w:t>2、完善考核监督。</w:t>
      </w:r>
      <w:r>
        <w:rPr>
          <w:rFonts w:hint="eastAsia" w:ascii="仿宋_GB2312" w:hAnsi="仿宋_GB2312" w:eastAsia="仿宋_GB2312" w:cs="仿宋_GB2312"/>
          <w:kern w:val="2"/>
          <w:sz w:val="32"/>
          <w:szCs w:val="32"/>
          <w:lang w:val="en-US" w:eastAsia="zh-CN" w:bidi="ar-SA"/>
        </w:rPr>
        <w:t>将法治建设成效纳入各村（社区）、各部门年度绩效考核核心内容，组织开展专项督导检查，对发现的问题建立台账并限期整改。严格执行领导干部年终述职制度，实现街道中层干部及社区“两委”班子述法全覆盖，将依法履职情况作为干部选拔任用、评优评先的重要依据。</w:t>
      </w:r>
    </w:p>
    <w:p w14:paraId="49A27C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val="0"/>
          <w:sz w:val="32"/>
          <w:szCs w:val="32"/>
          <w:lang w:val="en-US" w:eastAsia="zh-CN"/>
        </w:rPr>
        <w:t>3、强化法治保障。</w:t>
      </w:r>
      <w:r>
        <w:rPr>
          <w:rFonts w:hint="eastAsia" w:ascii="仿宋_GB2312" w:hAnsi="仿宋_GB2312" w:eastAsia="仿宋_GB2312" w:cs="仿宋_GB2312"/>
          <w:sz w:val="32"/>
          <w:szCs w:val="32"/>
          <w:lang w:val="en-US" w:eastAsia="zh-CN"/>
        </w:rPr>
        <w:t>持续健全公共法律服务，严格落实法律顾问制度，街道所辖12个社区均配备法律顾问，邀请法律顾问每周到街道司法所坐班1天，形成“街道-社区-网格”三级法律服务网络。2025年，坐班法律顾问共提供法律咨询48次，参与审查合同8份，出具法律意见书1份；社区法律顾问提供法律咨询130次，开展法治讲座40场次，有效提升基层依法决策、依法办事能力。</w:t>
      </w:r>
    </w:p>
    <w:p w14:paraId="119020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0"/>
        <w:rPr>
          <w:rFonts w:hint="eastAsia" w:ascii="楷体_GB2312" w:hAnsi="楷体_GB2312" w:eastAsia="楷体_GB2312" w:cs="楷体_GB2312"/>
          <w:b/>
          <w:bCs/>
          <w:kern w:val="2"/>
          <w:sz w:val="32"/>
          <w:szCs w:val="32"/>
          <w:lang w:val="en-US" w:eastAsia="zh-CN" w:bidi="ar-SA"/>
        </w:rPr>
      </w:pPr>
      <w:bookmarkStart w:id="2" w:name="heading_2"/>
      <w:r>
        <w:rPr>
          <w:rFonts w:hint="eastAsia" w:ascii="楷体_GB2312" w:hAnsi="楷体_GB2312" w:eastAsia="楷体_GB2312" w:cs="楷体_GB2312"/>
          <w:b/>
          <w:bCs/>
          <w:kern w:val="2"/>
          <w:sz w:val="32"/>
          <w:szCs w:val="32"/>
          <w:lang w:val="en-US" w:eastAsia="zh-CN" w:bidi="ar-SA"/>
        </w:rPr>
        <w:t>（二）深化普法宣传，提升全民法治素养</w:t>
      </w:r>
      <w:bookmarkEnd w:id="2"/>
    </w:p>
    <w:p w14:paraId="207486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街道坚持“谁执法谁普法”责任制，聚焦重点对象、重点节点，创新宣传方式，构建全方位、多层次的普法工作体系。</w:t>
      </w:r>
    </w:p>
    <w:p w14:paraId="2DA589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val="0"/>
          <w:sz w:val="32"/>
          <w:szCs w:val="32"/>
          <w:lang w:val="en-US" w:eastAsia="zh-CN"/>
        </w:rPr>
        <w:t>1、抓实“关键少数”学法。</w:t>
      </w:r>
      <w:r>
        <w:rPr>
          <w:rFonts w:hint="eastAsia" w:ascii="仿宋_GB2312" w:hAnsi="仿宋_GB2312" w:eastAsia="仿宋_GB2312" w:cs="仿宋_GB2312"/>
          <w:sz w:val="32"/>
          <w:szCs w:val="32"/>
          <w:lang w:val="en-US" w:eastAsia="zh-CN"/>
        </w:rPr>
        <w:t>坚持以习近平新时代中国特色社会主义思想为指导，依托街道党校、教育学习平台等载体，持续加强思想政治建设，街道党政班子成员带头深入学习贯彻习近平法治思想，通过党政班子联席（扩大）会议、理论学习中心组、专题学习会、培训班、读书班等形式组织全体工作人员深学笃行习近平法治思想，推动学习贯彻习近平法治思想不断走深走实。同时，重视法治素养和法治能力的育人导向，强化法治教育培训力度，严格落实公职人员学法制度，组织街道及社区全体干部职工参加年度学法考试，全面提升干部职工法治意识和法治素养，进一步激发基层法治建设活力，切实把学习成果转化为推动法治政府建设的生动实践。</w:t>
      </w:r>
    </w:p>
    <w:p w14:paraId="099598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lang w:val="en-US" w:eastAsia="zh-CN"/>
        </w:rPr>
        <w:t>2、拓宽全民普法渠道。</w:t>
      </w:r>
      <w:r>
        <w:rPr>
          <w:rFonts w:hint="eastAsia" w:ascii="仿宋_GB2312" w:hAnsi="仿宋_GB2312" w:eastAsia="仿宋_GB2312" w:cs="仿宋_GB2312"/>
          <w:sz w:val="32"/>
          <w:szCs w:val="32"/>
          <w:lang w:val="en-US" w:eastAsia="zh-CN"/>
        </w:rPr>
        <w:t>坚持集中法治宣传教育与经常性法治宣传教育相结合，持续推进“司法蓝+N”普法新模式，结合重要节点精心组织社区法律顾问、社工、志愿者等，深化推进普法进机关、进社区、进学校等主题活动，推动开</w:t>
      </w:r>
      <w:r>
        <w:rPr>
          <w:rFonts w:hint="eastAsia" w:ascii="仿宋_GB2312" w:hAnsi="仿宋_GB2312" w:eastAsia="仿宋_GB2312" w:cs="仿宋_GB2312"/>
          <w:sz w:val="32"/>
          <w:szCs w:val="32"/>
          <w:highlight w:val="none"/>
          <w:lang w:val="en-US" w:eastAsia="zh-CN"/>
        </w:rPr>
        <w:t>展“‘典’亮榕城·法治惠民”法治宣传公益集市、“禁毒预防教育”宣传进社区、未成年人保护普法</w:t>
      </w:r>
      <w:r>
        <w:rPr>
          <w:rFonts w:hint="eastAsia" w:ascii="仿宋_GB2312" w:hAnsi="仿宋_GB2312" w:eastAsia="仿宋_GB2312" w:cs="仿宋_GB2312"/>
          <w:sz w:val="32"/>
          <w:szCs w:val="32"/>
          <w:lang w:val="en-US" w:eastAsia="zh-CN"/>
        </w:rPr>
        <w:t>宣传进学校、榕江公园普法宣传等多种形式的法治宣传教育主题活动，并利用单位宣传栏、电子显示屏、微信公众号等载体，广泛宣传法治理念、法律知识，营造了良好的法治氛围。</w:t>
      </w:r>
    </w:p>
    <w:p w14:paraId="21EB0A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lang w:val="en-US" w:eastAsia="zh-CN"/>
        </w:rPr>
        <w:t>3、加强法治队伍建设。</w:t>
      </w:r>
      <w:r>
        <w:rPr>
          <w:rFonts w:hint="eastAsia" w:ascii="仿宋_GB2312" w:hAnsi="仿宋_GB2312" w:eastAsia="仿宋_GB2312" w:cs="仿宋_GB2312"/>
          <w:sz w:val="32"/>
          <w:szCs w:val="32"/>
          <w:lang w:val="en-US" w:eastAsia="zh-CN"/>
        </w:rPr>
        <w:t>扎实推进乡村“法律明白人”培养工程的实施，着力培养一支群众身边的普法依法治理工作队伍</w:t>
      </w:r>
      <w:r>
        <w:rPr>
          <w:rFonts w:hint="eastAsia" w:ascii="仿宋_GB2312" w:hAnsi="仿宋_GB2312" w:eastAsia="仿宋_GB2312" w:cs="仿宋_GB2312"/>
          <w:sz w:val="32"/>
          <w:szCs w:val="32"/>
          <w:highlight w:val="none"/>
          <w:lang w:val="en-US" w:eastAsia="zh-CN"/>
        </w:rPr>
        <w:t>，累计培育法律明白人48人，实现12个社区每个社区至少有4名法律明白人，为推进基层法治建设提供了坚实的法治人才保障。同时</w:t>
      </w:r>
      <w:r>
        <w:rPr>
          <w:rFonts w:hint="eastAsia" w:ascii="仿宋_GB2312" w:hAnsi="仿宋_GB2312" w:eastAsia="仿宋_GB2312" w:cs="仿宋_GB2312"/>
          <w:sz w:val="32"/>
          <w:szCs w:val="32"/>
          <w:lang w:val="en-US" w:eastAsia="zh-CN"/>
        </w:rPr>
        <w:t>，积极组织人员参加广东省行政执法人员综合法律知识网上考试和市、区有关部门的执法培训，邀请社区法律顾问开展行政执法培训，不断充实执法人员业务知识、增强自身素质、培养协作意识。建立行政执法责任制和责任追究制，明确对不作为、乱作为的坚决实行责任追究制，有效地确保全办执法人员严格执法、文明执法、依法行政。</w:t>
      </w:r>
    </w:p>
    <w:p w14:paraId="3AE6B8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0"/>
        <w:rPr>
          <w:rFonts w:hint="eastAsia" w:ascii="楷体_GB2312" w:hAnsi="楷体_GB2312" w:eastAsia="楷体_GB2312" w:cs="楷体_GB2312"/>
          <w:b/>
          <w:bCs/>
          <w:kern w:val="2"/>
          <w:sz w:val="32"/>
          <w:szCs w:val="32"/>
          <w:lang w:val="en-US" w:eastAsia="zh-CN" w:bidi="ar-SA"/>
        </w:rPr>
      </w:pPr>
      <w:bookmarkStart w:id="3" w:name="heading_3"/>
      <w:r>
        <w:rPr>
          <w:rFonts w:hint="eastAsia" w:ascii="楷体_GB2312" w:hAnsi="楷体_GB2312" w:eastAsia="楷体_GB2312" w:cs="楷体_GB2312"/>
          <w:b/>
          <w:bCs/>
          <w:kern w:val="2"/>
          <w:sz w:val="32"/>
          <w:szCs w:val="32"/>
          <w:lang w:val="en-US" w:eastAsia="zh-CN" w:bidi="ar-SA"/>
        </w:rPr>
        <w:t>（三）规范权力运行，推进依法行政提质增效</w:t>
      </w:r>
      <w:bookmarkEnd w:id="3"/>
    </w:p>
    <w:p w14:paraId="687C93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街道以规范行政执法、完善决策机制为抓手，全面推行行政执法“三项制度”，切实把行政权力关进制度“笼子”。</w:t>
      </w:r>
    </w:p>
    <w:p w14:paraId="11442A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val="0"/>
          <w:sz w:val="32"/>
          <w:szCs w:val="32"/>
          <w:lang w:val="en-US" w:eastAsia="zh-CN"/>
        </w:rPr>
        <w:t>1、健全依法决策机制。</w:t>
      </w:r>
      <w:r>
        <w:rPr>
          <w:rFonts w:hint="eastAsia" w:ascii="仿宋_GB2312" w:hAnsi="仿宋_GB2312" w:eastAsia="仿宋_GB2312" w:cs="仿宋_GB2312"/>
          <w:sz w:val="32"/>
          <w:szCs w:val="32"/>
          <w:lang w:val="en-US" w:eastAsia="zh-CN"/>
        </w:rPr>
        <w:t>对涉及群众切身利益的民生项目、执法方案等，均通过座谈会、公示栏等形式征求意见，邀请法律顾问、居民代表等参与论证，确保决策合法合规、符合民意。</w:t>
      </w:r>
    </w:p>
    <w:p w14:paraId="0D9502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val="0"/>
          <w:sz w:val="32"/>
          <w:szCs w:val="32"/>
          <w:lang w:val="en-US" w:eastAsia="zh-CN"/>
        </w:rPr>
        <w:t>2、提升执法规范化水平。</w:t>
      </w:r>
      <w:r>
        <w:rPr>
          <w:rFonts w:hint="eastAsia" w:ascii="仿宋_GB2312" w:hAnsi="仿宋_GB2312" w:eastAsia="仿宋_GB2312" w:cs="仿宋_GB2312"/>
          <w:sz w:val="32"/>
          <w:szCs w:val="32"/>
          <w:lang w:val="en-US" w:eastAsia="zh-CN"/>
        </w:rPr>
        <w:t>加强行政执法队伍建设，组织1名执法人员参加资格培训考试并顺利通过，</w:t>
      </w:r>
      <w:bookmarkStart w:id="4" w:name="OLE_LINK1"/>
      <w:r>
        <w:rPr>
          <w:rFonts w:hint="eastAsia" w:ascii="仿宋_GB2312" w:hAnsi="仿宋_GB2312" w:eastAsia="仿宋_GB2312" w:cs="仿宋_GB2312"/>
          <w:sz w:val="32"/>
          <w:szCs w:val="32"/>
          <w:lang w:val="en-US" w:eastAsia="zh-CN"/>
        </w:rPr>
        <w:t>现有持证执法人员29名</w:t>
      </w:r>
      <w:bookmarkEnd w:id="4"/>
      <w:r>
        <w:rPr>
          <w:rFonts w:hint="eastAsia" w:ascii="仿宋_GB2312" w:hAnsi="仿宋_GB2312" w:eastAsia="仿宋_GB2312" w:cs="仿宋_GB2312"/>
          <w:sz w:val="32"/>
          <w:szCs w:val="32"/>
          <w:lang w:val="en-US" w:eastAsia="zh-CN"/>
        </w:rPr>
        <w:t>，严格落实执法人员持证上岗。聚焦市容环境、安全生产、食品安全等重点领域，</w:t>
      </w:r>
      <w:r>
        <w:rPr>
          <w:rFonts w:hint="eastAsia" w:ascii="仿宋_GB2312" w:hAnsi="仿宋_GB2312" w:eastAsia="仿宋_GB2312" w:cs="仿宋_GB2312"/>
          <w:sz w:val="32"/>
          <w:szCs w:val="32"/>
          <w:highlight w:val="none"/>
          <w:lang w:val="en-US" w:eastAsia="zh-CN"/>
        </w:rPr>
        <w:t>开展专项执法行动15次，全年办理行政检查案件115宗，一般程序案件3宗，共处罚人民币68494.54元，均做到程序合法、文书规范。探索推行“柔性执法”，对轻微违法行为采用说服教育、劝导示范等非强制性手段，全年累计规范跨门槛经营600余次，整治乱摆卖3000余次，未发生执法投诉案件。</w:t>
      </w:r>
    </w:p>
    <w:p w14:paraId="341C3E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val="0"/>
          <w:sz w:val="32"/>
          <w:szCs w:val="32"/>
          <w:lang w:val="en-US" w:eastAsia="zh-CN"/>
        </w:rPr>
        <w:t>3、深化政务公开透明。</w:t>
      </w:r>
      <w:r>
        <w:rPr>
          <w:rFonts w:hint="eastAsia" w:ascii="仿宋_GB2312" w:hAnsi="仿宋_GB2312" w:eastAsia="仿宋_GB2312" w:cs="仿宋_GB2312"/>
          <w:sz w:val="32"/>
          <w:szCs w:val="32"/>
          <w:lang w:val="en-US" w:eastAsia="zh-CN"/>
        </w:rPr>
        <w:t>依托上级政府网站等平台，</w:t>
      </w:r>
      <w:r>
        <w:rPr>
          <w:rFonts w:hint="eastAsia" w:ascii="仿宋_GB2312" w:hAnsi="仿宋_GB2312" w:eastAsia="仿宋_GB2312" w:cs="仿宋_GB2312"/>
          <w:sz w:val="32"/>
          <w:szCs w:val="32"/>
          <w:highlight w:val="none"/>
          <w:lang w:val="en-US" w:eastAsia="zh-CN"/>
        </w:rPr>
        <w:t>主动公开财政资金、公共服务、行政执法等信息9条，</w:t>
      </w:r>
      <w:r>
        <w:rPr>
          <w:rFonts w:hint="eastAsia" w:ascii="仿宋_GB2312" w:hAnsi="仿宋_GB2312" w:eastAsia="仿宋_GB2312" w:cs="仿宋_GB2312"/>
          <w:sz w:val="32"/>
          <w:szCs w:val="32"/>
          <w:lang w:val="en-US" w:eastAsia="zh-CN"/>
        </w:rPr>
        <w:t>切实保障群众的知情权、参与权和监督权。</w:t>
      </w:r>
    </w:p>
    <w:p w14:paraId="037109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0"/>
        <w:rPr>
          <w:rFonts w:hint="eastAsia" w:ascii="楷体_GB2312" w:hAnsi="楷体_GB2312" w:eastAsia="楷体_GB2312" w:cs="楷体_GB2312"/>
          <w:b/>
          <w:bCs/>
          <w:kern w:val="2"/>
          <w:sz w:val="32"/>
          <w:szCs w:val="32"/>
          <w:lang w:val="en-US" w:eastAsia="zh-CN" w:bidi="ar-SA"/>
        </w:rPr>
      </w:pPr>
      <w:bookmarkStart w:id="5" w:name="heading_4"/>
      <w:r>
        <w:rPr>
          <w:rFonts w:hint="eastAsia" w:ascii="楷体_GB2312" w:hAnsi="楷体_GB2312" w:eastAsia="楷体_GB2312" w:cs="楷体_GB2312"/>
          <w:b/>
          <w:bCs/>
          <w:kern w:val="2"/>
          <w:sz w:val="32"/>
          <w:szCs w:val="32"/>
          <w:lang w:val="en-US" w:eastAsia="zh-CN" w:bidi="ar-SA"/>
        </w:rPr>
        <w:t>（四）创新治理模式，提升矛盾化解工作效能</w:t>
      </w:r>
      <w:bookmarkEnd w:id="5"/>
    </w:p>
    <w:p w14:paraId="39BA57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街道坚持和发展新时代“枫桥经验”，深化运用“一站式”纠纷解决服务平台，成立“五老”调解工作室，构建源头预防、排查预警、多元化解的矛盾纠纷治理体系。</w:t>
      </w:r>
    </w:p>
    <w:p w14:paraId="40548C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val="0"/>
          <w:sz w:val="32"/>
          <w:szCs w:val="32"/>
          <w:lang w:val="en-US" w:eastAsia="zh-CN"/>
        </w:rPr>
        <w:t>1、健全联动化解机制。</w:t>
      </w:r>
      <w:r>
        <w:rPr>
          <w:rFonts w:hint="eastAsia" w:ascii="仿宋_GB2312" w:hAnsi="仿宋_GB2312" w:eastAsia="仿宋_GB2312" w:cs="仿宋_GB2312"/>
          <w:sz w:val="32"/>
          <w:szCs w:val="32"/>
          <w:lang w:val="en-US" w:eastAsia="zh-CN"/>
        </w:rPr>
        <w:t>深化运用“一站式”纠纷解决服务平台，积极用好“莲花”调解工作法，不断强化整合派出所、司法所、综治办、社区调委会等资源，持续完善人民调解、行政调解、司法调解多元调解协调联动机制，构成“大调解”工作格局，做到归口受理，集中办理，依法处理，实现预防化解工作常态化，就地化解人民内部矛盾，确保矛盾不出街，2025年共参与开展矛盾纠纷排查260次，有效预防化解各类矛盾纠纷200件，涉及金额51.4万元，其中疑难复杂类案件26宗，包含劳动者权益保护、邻里纠纷、损害赔偿纠纷等，调解成功率99%。</w:t>
      </w:r>
    </w:p>
    <w:p w14:paraId="52ED3B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val="0"/>
          <w:sz w:val="32"/>
          <w:szCs w:val="32"/>
          <w:lang w:val="en-US" w:eastAsia="zh-CN"/>
        </w:rPr>
        <w:t>2、强化源头排查预警。</w:t>
      </w:r>
      <w:r>
        <w:rPr>
          <w:rFonts w:hint="eastAsia" w:ascii="仿宋_GB2312" w:hAnsi="仿宋_GB2312" w:eastAsia="仿宋_GB2312" w:cs="仿宋_GB2312"/>
          <w:sz w:val="32"/>
          <w:szCs w:val="32"/>
          <w:lang w:val="en-US" w:eastAsia="zh-CN"/>
        </w:rPr>
        <w:t>依托网格化服务管理体系，将法治工作融入网格，明确网格员法治宣传、矛盾排查、信息上报等职责，发现矛盾苗头及时稳控处置，筑牢社会稳定“第一道防线”。</w:t>
      </w:r>
      <w:r>
        <w:rPr>
          <w:rFonts w:hint="eastAsia" w:ascii="仿宋_GB2312" w:hAnsi="仿宋_GB2312" w:eastAsia="仿宋_GB2312" w:cs="仿宋_GB2312"/>
          <w:b w:val="0"/>
          <w:bCs w:val="0"/>
          <w:color w:val="auto"/>
          <w:sz w:val="32"/>
          <w:szCs w:val="32"/>
          <w:lang w:val="en-US" w:eastAsia="zh-CN"/>
        </w:rPr>
        <w:t>2025年网格登录活跃度100%，共办结网格事件1172件，其中自办自结事件1003件，流转事件168件，完成率100%。</w:t>
      </w:r>
    </w:p>
    <w:p w14:paraId="6EC351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b/>
          <w:bCs w:val="0"/>
          <w:sz w:val="32"/>
          <w:szCs w:val="32"/>
          <w:lang w:val="en-US" w:eastAsia="zh-CN"/>
        </w:rPr>
        <w:t>3、畅通群众诉求渠道。</w:t>
      </w:r>
      <w:r>
        <w:rPr>
          <w:rFonts w:hint="eastAsia" w:ascii="仿宋_GB2312" w:hAnsi="仿宋_GB2312" w:eastAsia="仿宋_GB2312" w:cs="仿宋_GB2312"/>
          <w:sz w:val="32"/>
          <w:szCs w:val="32"/>
        </w:rPr>
        <w:t>坚持“属地管理、分级负责，谁主管、谁负责”工作原则，落实化解信访积案和信访案件有关工作措施，及时解决群众反映的各种信访问</w:t>
      </w:r>
      <w:r>
        <w:rPr>
          <w:rFonts w:hint="eastAsia" w:ascii="仿宋_GB2312" w:hAnsi="仿宋_GB2312" w:eastAsia="仿宋_GB2312" w:cs="仿宋_GB2312"/>
          <w:sz w:val="32"/>
          <w:szCs w:val="32"/>
          <w:highlight w:val="none"/>
        </w:rPr>
        <w:t>题。</w:t>
      </w:r>
      <w:r>
        <w:rPr>
          <w:rFonts w:hint="eastAsia" w:ascii="仿宋_GB2312" w:hAnsi="仿宋_GB2312" w:eastAsia="仿宋_GB2312" w:cs="仿宋_GB2312"/>
          <w:sz w:val="32"/>
          <w:szCs w:val="32"/>
          <w:lang w:val="en-US" w:eastAsia="zh-CN"/>
        </w:rPr>
        <w:t>整合12345热线、信访接待、法律援助等功</w:t>
      </w:r>
      <w:r>
        <w:rPr>
          <w:rFonts w:hint="eastAsia" w:ascii="仿宋_GB2312" w:hAnsi="仿宋_GB2312" w:eastAsia="仿宋_GB2312" w:cs="仿宋_GB2312"/>
          <w:sz w:val="32"/>
          <w:szCs w:val="32"/>
          <w:highlight w:val="none"/>
          <w:lang w:val="en-US" w:eastAsia="zh-CN"/>
        </w:rPr>
        <w:t>能，全年办结12345热线投诉1130件，信访事项64件，</w:t>
      </w:r>
      <w:r>
        <w:rPr>
          <w:rFonts w:hint="eastAsia" w:ascii="仿宋_GB2312" w:hAnsi="仿宋_GB2312" w:eastAsia="仿宋_GB2312" w:cs="仿宋_GB2312"/>
          <w:sz w:val="32"/>
          <w:szCs w:val="32"/>
          <w:highlight w:val="none"/>
          <w:lang w:eastAsia="zh-CN"/>
        </w:rPr>
        <w:t>办结</w:t>
      </w:r>
      <w:r>
        <w:rPr>
          <w:rFonts w:hint="eastAsia" w:ascii="仿宋_GB2312" w:hAnsi="仿宋_GB2312" w:eastAsia="仿宋_GB2312" w:cs="仿宋_GB2312"/>
          <w:sz w:val="32"/>
          <w:szCs w:val="32"/>
          <w:highlight w:val="none"/>
        </w:rPr>
        <w:t>“急难愁盼我来办”网上平台转送件</w:t>
      </w:r>
      <w:r>
        <w:rPr>
          <w:rFonts w:hint="eastAsia" w:ascii="仿宋_GB2312" w:hAnsi="仿宋_GB2312" w:eastAsia="仿宋_GB2312" w:cs="仿宋_GB2312"/>
          <w:sz w:val="32"/>
          <w:szCs w:val="32"/>
          <w:highlight w:val="none"/>
          <w:lang w:val="en-US" w:eastAsia="zh-CN"/>
        </w:rPr>
        <w:t>196</w:t>
      </w:r>
      <w:r>
        <w:rPr>
          <w:rFonts w:hint="eastAsia" w:ascii="仿宋_GB2312" w:hAnsi="仿宋_GB2312" w:eastAsia="仿宋_GB2312" w:cs="仿宋_GB2312"/>
          <w:sz w:val="32"/>
          <w:szCs w:val="32"/>
          <w:highlight w:val="none"/>
        </w:rPr>
        <w:t>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办结率均保持97 %以上。建立矛盾化解“30天回访跟踪机制”，确保矛盾不反复。</w:t>
      </w:r>
    </w:p>
    <w:p w14:paraId="152DAE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kern w:val="2"/>
          <w:sz w:val="32"/>
          <w:szCs w:val="32"/>
          <w:lang w:val="en-US" w:eastAsia="zh-CN" w:bidi="ar-SA"/>
        </w:rPr>
      </w:pPr>
      <w:bookmarkStart w:id="6" w:name="heading_6"/>
      <w:r>
        <w:rPr>
          <w:rFonts w:hint="eastAsia" w:ascii="黑体" w:hAnsi="黑体" w:eastAsia="黑体" w:cs="黑体"/>
          <w:kern w:val="2"/>
          <w:sz w:val="32"/>
          <w:szCs w:val="32"/>
          <w:lang w:val="en-US" w:eastAsia="zh-CN" w:bidi="ar-SA"/>
        </w:rPr>
        <w:t>二、存在的问题与不足</w:t>
      </w:r>
      <w:bookmarkEnd w:id="6"/>
    </w:p>
    <w:p w14:paraId="1AC9F7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在肯定成绩的同时，我们也清醒认识到法治政府建设工作中存在的短板和不足：</w:t>
      </w:r>
      <w:r>
        <w:rPr>
          <w:rFonts w:hint="eastAsia" w:ascii="仿宋_GB2312" w:hAnsi="仿宋_GB2312" w:eastAsia="仿宋_GB2312" w:cs="仿宋_GB2312"/>
          <w:b/>
          <w:bCs/>
          <w:sz w:val="32"/>
          <w:szCs w:val="32"/>
          <w:highlight w:val="none"/>
        </w:rPr>
        <w:t>一是</w:t>
      </w:r>
      <w:r>
        <w:rPr>
          <w:rFonts w:hint="eastAsia" w:ascii="仿宋_GB2312" w:hAnsi="仿宋_GB2312" w:eastAsia="仿宋_GB2312" w:cs="仿宋_GB2312"/>
          <w:sz w:val="32"/>
          <w:szCs w:val="32"/>
          <w:highlight w:val="none"/>
        </w:rPr>
        <w:t>部分干部运用法治思维和法治方式解决复杂问题的能力仍有待提升，面对新业态、新矛盾时应对不够精准；</w:t>
      </w:r>
      <w:r>
        <w:rPr>
          <w:rFonts w:hint="eastAsia" w:ascii="仿宋_GB2312" w:hAnsi="仿宋_GB2312" w:eastAsia="仿宋_GB2312" w:cs="仿宋_GB2312"/>
          <w:b/>
          <w:bCs/>
          <w:sz w:val="32"/>
          <w:szCs w:val="32"/>
          <w:highlight w:val="none"/>
        </w:rPr>
        <w:t>二是</w:t>
      </w:r>
      <w:r>
        <w:rPr>
          <w:rFonts w:hint="eastAsia" w:ascii="仿宋_GB2312" w:hAnsi="仿宋_GB2312" w:eastAsia="仿宋_GB2312" w:cs="仿宋_GB2312"/>
          <w:sz w:val="32"/>
          <w:szCs w:val="32"/>
          <w:highlight w:val="none"/>
        </w:rPr>
        <w:t>普法宣传的针对性和实效性需进一步增强，宣传形式创新性不足，对不同群体的普法需求关注不够；</w:t>
      </w:r>
      <w:r>
        <w:rPr>
          <w:rFonts w:hint="eastAsia" w:ascii="仿宋_GB2312" w:hAnsi="仿宋_GB2312" w:eastAsia="仿宋_GB2312" w:cs="仿宋_GB2312"/>
          <w:b/>
          <w:bCs/>
          <w:sz w:val="32"/>
          <w:szCs w:val="32"/>
          <w:highlight w:val="none"/>
        </w:rPr>
        <w:t>三是</w:t>
      </w:r>
      <w:r>
        <w:rPr>
          <w:rFonts w:hint="eastAsia" w:ascii="仿宋_GB2312" w:hAnsi="仿宋_GB2312" w:eastAsia="仿宋_GB2312" w:cs="仿宋_GB2312"/>
          <w:sz w:val="32"/>
          <w:szCs w:val="32"/>
          <w:highlight w:val="none"/>
        </w:rPr>
        <w:t>基层执法力量相对薄弱，专业执法人员不足，部分领域执法精细化水平有待提高；</w:t>
      </w:r>
      <w:r>
        <w:rPr>
          <w:rFonts w:hint="eastAsia" w:ascii="仿宋_GB2312" w:hAnsi="仿宋_GB2312" w:eastAsia="仿宋_GB2312" w:cs="仿宋_GB2312"/>
          <w:b/>
          <w:bCs/>
          <w:sz w:val="32"/>
          <w:szCs w:val="32"/>
          <w:highlight w:val="none"/>
        </w:rPr>
        <w:t>四是</w:t>
      </w:r>
      <w:r>
        <w:rPr>
          <w:rFonts w:hint="eastAsia" w:ascii="仿宋_GB2312" w:hAnsi="仿宋_GB2312" w:eastAsia="仿宋_GB2312" w:cs="仿宋_GB2312"/>
          <w:sz w:val="32"/>
          <w:szCs w:val="32"/>
          <w:highlight w:val="none"/>
        </w:rPr>
        <w:t>多元矛盾纠纷化解机制仍需完善，部门协同联动效率不够高，部分疑难纠纷化解周期较长。</w:t>
      </w:r>
    </w:p>
    <w:p w14:paraId="73F86D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kern w:val="2"/>
          <w:sz w:val="32"/>
          <w:szCs w:val="32"/>
          <w:lang w:val="en-US" w:eastAsia="zh-CN" w:bidi="ar-SA"/>
        </w:rPr>
      </w:pPr>
      <w:bookmarkStart w:id="7" w:name="heading_7"/>
      <w:r>
        <w:rPr>
          <w:rFonts w:hint="eastAsia" w:ascii="黑体" w:hAnsi="黑体" w:eastAsia="黑体" w:cs="黑体"/>
          <w:kern w:val="2"/>
          <w:sz w:val="32"/>
          <w:szCs w:val="32"/>
          <w:lang w:val="en-US" w:eastAsia="zh-CN" w:bidi="ar-SA"/>
        </w:rPr>
        <w:t>三、2026年度法治政府建设工作计划</w:t>
      </w:r>
      <w:bookmarkEnd w:id="7"/>
    </w:p>
    <w:p w14:paraId="56336B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2026年，街道将以问题为导向，以提升法治治理能力为核心，重点抓好以下四方面工作：</w:t>
      </w:r>
    </w:p>
    <w:p w14:paraId="3E75E5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b/>
          <w:bCs/>
          <w:sz w:val="32"/>
          <w:szCs w:val="32"/>
          <w:highlight w:val="none"/>
        </w:rPr>
        <w:t>深化理论武装</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rPr>
        <w:t>筑牢法治思想根基。持续将习近平法治思想纳入党工委理论学习中心组和干部教育培训重点内容，推动领导干部带头运用法治思维破解发展难题。严格落实党政主要负责人履行推进法治建设第一责任人职责规定，完善法治建设考核评价体系，强化考核结果运用，压实各级法治建设责任。</w:t>
      </w:r>
    </w:p>
    <w:p w14:paraId="01B92B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b/>
          <w:bCs/>
          <w:sz w:val="32"/>
          <w:szCs w:val="32"/>
          <w:highlight w:val="none"/>
        </w:rPr>
        <w:t>规范执法行为</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rPr>
        <w:t>提升依法行政水平。加强行政执法队伍专业化建设，开展行政执法专题培训，重点提升对新法律法规、复杂案件的处置能力。进一步深化行政执法“三项制度”，推广“柔性执法”“说理式执法”，规范执法流程和文书制作。完善重大行政决策机制，建立决策后评估制度，提升决策科学性和合法性。</w:t>
      </w:r>
    </w:p>
    <w:p w14:paraId="4BE29D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b/>
          <w:bCs/>
          <w:sz w:val="32"/>
          <w:szCs w:val="32"/>
          <w:highlight w:val="none"/>
        </w:rPr>
        <w:t>创新治理模式</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rPr>
        <w:t>强化矛盾源头化解。优化矛盾纠纷分级化解流程，建立一般、关注、重点三级矛盾台账，实行“一事一策”。加强与职能部门联动，重点化解</w:t>
      </w:r>
      <w:r>
        <w:rPr>
          <w:rFonts w:hint="eastAsia" w:ascii="仿宋_GB2312" w:hAnsi="仿宋_GB2312" w:eastAsia="仿宋_GB2312" w:cs="仿宋_GB2312"/>
          <w:sz w:val="32"/>
          <w:szCs w:val="32"/>
          <w:highlight w:val="none"/>
          <w:lang w:eastAsia="zh-CN"/>
        </w:rPr>
        <w:t>邻里</w:t>
      </w:r>
      <w:r>
        <w:rPr>
          <w:rFonts w:hint="eastAsia" w:ascii="仿宋_GB2312" w:hAnsi="仿宋_GB2312" w:eastAsia="仿宋_GB2312" w:cs="仿宋_GB2312"/>
          <w:sz w:val="32"/>
          <w:szCs w:val="32"/>
          <w:highlight w:val="none"/>
        </w:rPr>
        <w:t>纠纷、劳动争议等高频领域矛盾</w:t>
      </w:r>
      <w:r>
        <w:rPr>
          <w:rFonts w:hint="eastAsia" w:ascii="仿宋_GB2312" w:hAnsi="仿宋_GB2312" w:eastAsia="仿宋_GB2312" w:cs="仿宋_GB2312"/>
          <w:sz w:val="32"/>
          <w:szCs w:val="32"/>
          <w:highlight w:val="none"/>
          <w:lang w:eastAsia="zh-CN"/>
        </w:rPr>
        <w:t>。</w:t>
      </w:r>
    </w:p>
    <w:p w14:paraId="19886D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四是</w:t>
      </w:r>
      <w:r>
        <w:rPr>
          <w:rFonts w:hint="eastAsia" w:ascii="仿宋_GB2312" w:hAnsi="仿宋_GB2312" w:eastAsia="仿宋_GB2312" w:cs="仿宋_GB2312"/>
          <w:b/>
          <w:bCs/>
          <w:sz w:val="32"/>
          <w:szCs w:val="32"/>
          <w:highlight w:val="none"/>
        </w:rPr>
        <w:t>优化服务供给</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rPr>
        <w:t>增强法治惠民实效。创新普法宣传方式，打造“线上+线下”普法矩阵，针对青少年、企业职工等群体开展定制化普法活动。</w:t>
      </w:r>
    </w:p>
    <w:p w14:paraId="33848E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2026年，</w:t>
      </w:r>
      <w:r>
        <w:rPr>
          <w:rFonts w:hint="eastAsia" w:ascii="仿宋_GB2312" w:hAnsi="仿宋_GB2312" w:eastAsia="仿宋_GB2312" w:cs="仿宋_GB2312"/>
          <w:sz w:val="32"/>
          <w:szCs w:val="32"/>
          <w:highlight w:val="none"/>
          <w:lang w:eastAsia="zh-CN"/>
        </w:rPr>
        <w:t>榕华街道</w:t>
      </w:r>
      <w:r>
        <w:rPr>
          <w:rFonts w:hint="eastAsia" w:ascii="仿宋_GB2312" w:hAnsi="仿宋_GB2312" w:eastAsia="仿宋_GB2312" w:cs="仿宋_GB2312"/>
          <w:sz w:val="32"/>
          <w:szCs w:val="32"/>
          <w:highlight w:val="none"/>
        </w:rPr>
        <w:t>将继续以习近平法治思想为指引，正视问题、补齐短板，以更实举措推进法治政府建设，为辖区高质量发展营造更加优质的法治环境。</w:t>
      </w:r>
    </w:p>
    <w:p w14:paraId="4206471C">
      <w:pPr>
        <w:keepNext w:val="0"/>
        <w:keepLines w:val="0"/>
        <w:pageBreakBefore w:val="0"/>
        <w:widowControl w:val="0"/>
        <w:numPr>
          <w:ilvl w:val="0"/>
          <w:numId w:val="0"/>
        </w:numPr>
        <w:kinsoku/>
        <w:wordWrap w:val="0"/>
        <w:overflowPunct/>
        <w:topLinePunct w:val="0"/>
        <w:autoSpaceDE/>
        <w:autoSpaceDN/>
        <w:bidi w:val="0"/>
        <w:adjustRightInd/>
        <w:snapToGrid/>
        <w:spacing w:line="540" w:lineRule="exact"/>
        <w:jc w:val="right"/>
        <w:textAlignment w:val="auto"/>
        <w:rPr>
          <w:rFonts w:hint="eastAsia" w:ascii="仿宋_GB2312" w:eastAsia="仿宋_GB2312"/>
          <w:sz w:val="32"/>
          <w:szCs w:val="32"/>
        </w:rPr>
      </w:pPr>
    </w:p>
    <w:p w14:paraId="65558DF2">
      <w:pPr>
        <w:keepNext w:val="0"/>
        <w:keepLines w:val="0"/>
        <w:pageBreakBefore w:val="0"/>
        <w:widowControl w:val="0"/>
        <w:numPr>
          <w:ilvl w:val="0"/>
          <w:numId w:val="0"/>
        </w:numPr>
        <w:kinsoku/>
        <w:wordWrap w:val="0"/>
        <w:overflowPunct/>
        <w:topLinePunct w:val="0"/>
        <w:autoSpaceDE/>
        <w:autoSpaceDN/>
        <w:bidi w:val="0"/>
        <w:adjustRightInd/>
        <w:snapToGrid/>
        <w:spacing w:line="540" w:lineRule="exact"/>
        <w:jc w:val="right"/>
        <w:textAlignment w:val="auto"/>
        <w:rPr>
          <w:rFonts w:hint="default" w:ascii="仿宋_GB2312" w:eastAsia="仿宋_GB2312"/>
          <w:sz w:val="32"/>
          <w:szCs w:val="32"/>
          <w:lang w:val="en-US" w:eastAsia="zh-CN"/>
        </w:rPr>
      </w:pPr>
      <w:r>
        <w:rPr>
          <w:rFonts w:hint="eastAsia" w:ascii="仿宋_GB2312" w:eastAsia="仿宋_GB2312"/>
          <w:sz w:val="32"/>
          <w:szCs w:val="32"/>
        </w:rPr>
        <w:t>榕城区榕华街道党工委</w:t>
      </w:r>
      <w:r>
        <w:rPr>
          <w:rFonts w:hint="eastAsia" w:ascii="仿宋_GB2312" w:eastAsia="仿宋_GB2312"/>
          <w:sz w:val="32"/>
          <w:szCs w:val="32"/>
          <w:lang w:val="en-US" w:eastAsia="zh-CN"/>
        </w:rPr>
        <w:t xml:space="preserve">     </w:t>
      </w:r>
    </w:p>
    <w:p w14:paraId="3DA1A666">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hint="default" w:ascii="仿宋_GB2312" w:eastAsia="仿宋_GB2312"/>
          <w:sz w:val="32"/>
          <w:szCs w:val="32"/>
          <w:lang w:val="en-US" w:eastAsia="zh-CN"/>
        </w:rPr>
      </w:pPr>
      <w:r>
        <w:rPr>
          <w:rFonts w:hint="eastAsia" w:ascii="仿宋_GB2312" w:eastAsia="仿宋_GB2312"/>
          <w:sz w:val="32"/>
          <w:szCs w:val="32"/>
        </w:rPr>
        <w:t>榕城区榕华街道办事处</w:t>
      </w:r>
      <w:r>
        <w:rPr>
          <w:rFonts w:hint="eastAsia" w:ascii="仿宋_GB2312" w:eastAsia="仿宋_GB2312"/>
          <w:sz w:val="32"/>
          <w:szCs w:val="32"/>
          <w:lang w:val="en-US" w:eastAsia="zh-CN"/>
        </w:rPr>
        <w:t xml:space="preserve">     </w:t>
      </w:r>
    </w:p>
    <w:p w14:paraId="2D480DA7">
      <w:pPr>
        <w:pStyle w:val="2"/>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hint="default" w:ascii="仿宋_GB2312" w:eastAsia="仿宋_GB2312"/>
          <w:sz w:val="32"/>
          <w:szCs w:val="32"/>
          <w:lang w:val="en-US" w:eastAsia="zh-CN"/>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9</w:t>
      </w:r>
      <w:r>
        <w:rPr>
          <w:rFonts w:hint="eastAsia" w:ascii="仿宋_GB2312" w:eastAsia="仿宋_GB2312"/>
          <w:sz w:val="32"/>
          <w:szCs w:val="32"/>
        </w:rPr>
        <w:t>日</w:t>
      </w:r>
      <w:r>
        <w:rPr>
          <w:rFonts w:hint="eastAsia" w:ascii="仿宋_GB2312" w:eastAsia="仿宋_GB2312"/>
          <w:sz w:val="32"/>
          <w:szCs w:val="32"/>
          <w:lang w:val="en-US" w:eastAsia="zh-CN"/>
        </w:rPr>
        <w:t xml:space="preserve">       </w:t>
      </w:r>
    </w:p>
    <w:p w14:paraId="63C01C8C">
      <w:pPr>
        <w:pStyle w:val="2"/>
        <w:keepNext w:val="0"/>
        <w:keepLines w:val="0"/>
        <w:pageBreakBefore w:val="0"/>
        <w:widowControl w:val="0"/>
        <w:kinsoku/>
        <w:overflowPunct/>
        <w:topLinePunct w:val="0"/>
        <w:autoSpaceDE/>
        <w:autoSpaceDN/>
        <w:bidi w:val="0"/>
        <w:adjustRightInd/>
        <w:snapToGrid/>
        <w:spacing w:line="540" w:lineRule="exact"/>
        <w:textAlignment w:val="auto"/>
      </w:pPr>
      <w:r>
        <w:rPr>
          <w:rFonts w:hint="eastAsia" w:ascii="仿宋_GB2312" w:eastAsia="仿宋_GB2312"/>
          <w:sz w:val="32"/>
          <w:szCs w:val="32"/>
          <w:lang w:val="en-US" w:eastAsia="zh-CN"/>
        </w:rPr>
        <w:t>抄送：区司法局</w:t>
      </w:r>
    </w:p>
    <w:sectPr>
      <w:footerReference r:id="rId3" w:type="default"/>
      <w:pgSz w:w="11905" w:h="1684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F59B8">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1DC1DD">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1DC1DD">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62C30"/>
    <w:rsid w:val="04EB4AFC"/>
    <w:rsid w:val="067F2CAC"/>
    <w:rsid w:val="085E792F"/>
    <w:rsid w:val="0E42474D"/>
    <w:rsid w:val="10A47F60"/>
    <w:rsid w:val="10BD41C6"/>
    <w:rsid w:val="1168228A"/>
    <w:rsid w:val="11E42080"/>
    <w:rsid w:val="125675EE"/>
    <w:rsid w:val="143771ED"/>
    <w:rsid w:val="15794953"/>
    <w:rsid w:val="1748461B"/>
    <w:rsid w:val="191775ED"/>
    <w:rsid w:val="1A165442"/>
    <w:rsid w:val="1BDB0DA5"/>
    <w:rsid w:val="1CBE7955"/>
    <w:rsid w:val="1CE00E99"/>
    <w:rsid w:val="1D392D59"/>
    <w:rsid w:val="1D9E2D02"/>
    <w:rsid w:val="221C3EC6"/>
    <w:rsid w:val="22F208B9"/>
    <w:rsid w:val="24613FDA"/>
    <w:rsid w:val="24B37C8D"/>
    <w:rsid w:val="266A3617"/>
    <w:rsid w:val="26DD5B71"/>
    <w:rsid w:val="2A9C6591"/>
    <w:rsid w:val="2AD716B8"/>
    <w:rsid w:val="2B2079D0"/>
    <w:rsid w:val="2D957209"/>
    <w:rsid w:val="2DEA62A8"/>
    <w:rsid w:val="306632E3"/>
    <w:rsid w:val="31A82CE2"/>
    <w:rsid w:val="33CA3FBA"/>
    <w:rsid w:val="340C1700"/>
    <w:rsid w:val="35804D33"/>
    <w:rsid w:val="363A0861"/>
    <w:rsid w:val="37F41099"/>
    <w:rsid w:val="386B0974"/>
    <w:rsid w:val="38DD2CDD"/>
    <w:rsid w:val="39324FE5"/>
    <w:rsid w:val="3C5C2457"/>
    <w:rsid w:val="3C920B9A"/>
    <w:rsid w:val="3CA37DFB"/>
    <w:rsid w:val="3DB17E5D"/>
    <w:rsid w:val="3F0F2990"/>
    <w:rsid w:val="41030248"/>
    <w:rsid w:val="424A114C"/>
    <w:rsid w:val="42710B79"/>
    <w:rsid w:val="42B9555E"/>
    <w:rsid w:val="42C44DF1"/>
    <w:rsid w:val="42F7321F"/>
    <w:rsid w:val="450164D6"/>
    <w:rsid w:val="457A5ABA"/>
    <w:rsid w:val="47B55C5F"/>
    <w:rsid w:val="491E6A85"/>
    <w:rsid w:val="49F439DD"/>
    <w:rsid w:val="4A9309C2"/>
    <w:rsid w:val="4BE25B0B"/>
    <w:rsid w:val="4CBD542D"/>
    <w:rsid w:val="4D2E2839"/>
    <w:rsid w:val="4E625063"/>
    <w:rsid w:val="4FED0977"/>
    <w:rsid w:val="50D956C1"/>
    <w:rsid w:val="54372C70"/>
    <w:rsid w:val="5541612C"/>
    <w:rsid w:val="56D95AC9"/>
    <w:rsid w:val="57B51248"/>
    <w:rsid w:val="5AB65506"/>
    <w:rsid w:val="5E8422ED"/>
    <w:rsid w:val="5EC925A8"/>
    <w:rsid w:val="5F1D3870"/>
    <w:rsid w:val="615C27D4"/>
    <w:rsid w:val="62784CE4"/>
    <w:rsid w:val="62FC4FBD"/>
    <w:rsid w:val="63B50896"/>
    <w:rsid w:val="64AE7F84"/>
    <w:rsid w:val="66375446"/>
    <w:rsid w:val="6ADE73E7"/>
    <w:rsid w:val="6B1614FF"/>
    <w:rsid w:val="6D631060"/>
    <w:rsid w:val="6ECE3BAB"/>
    <w:rsid w:val="6FCC63AD"/>
    <w:rsid w:val="723977AD"/>
    <w:rsid w:val="736F764B"/>
    <w:rsid w:val="7391594C"/>
    <w:rsid w:val="74F4354D"/>
    <w:rsid w:val="75AA5AE0"/>
    <w:rsid w:val="779E42D6"/>
    <w:rsid w:val="77CA1AC9"/>
    <w:rsid w:val="7A984C0E"/>
    <w:rsid w:val="7D317DF7"/>
    <w:rsid w:val="7E721C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3420</Words>
  <Characters>3520</Characters>
  <TotalTime>66</TotalTime>
  <ScaleCrop>false</ScaleCrop>
  <LinksUpToDate>false</LinksUpToDate>
  <CharactersWithSpaces>3538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2025-11-28T07:43:00Z</dcterms:created>
  <dc:creator>Apache POI</dc:creator>
  <cp:lastModifiedBy>我将 照彻万川！</cp:lastModifiedBy>
  <cp:lastPrinted>2026-01-14T02:33:00Z</cp:lastPrinted>
  <dcterms:modified xsi:type="dcterms:W3CDTF">2026-04-09T06:47:46Z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3C63FCB2DED0441FA52F4085B564BF9A_13</vt:lpwstr>
  </property>
  <property fmtid="{D5CDD505-2E9C-101B-9397-08002B2CF9AE}" pid="4" name="KSOTemplateDocerSaveRecord">
    <vt:lpwstr>eyJoZGlkIjoiODI2MzJmYTA2OWZlMDk2MzAzNTJmOGJhZWZmZmFjMzkiLCJ1c2VySWQiOiIxNTczMTIyMzc5In0=</vt:lpwstr>
  </property>
</Properties>
</file>