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2016</w:t>
      </w:r>
      <w:r>
        <w:rPr>
          <w:rFonts w:hint="eastAsia" w:ascii="方正小标宋简体" w:hAnsi="方正小标宋简体" w:eastAsia="方正小标宋简体" w:cs="方正小标宋简体"/>
          <w:sz w:val="72"/>
          <w:szCs w:val="72"/>
        </w:rPr>
        <w:t>年</w:t>
      </w:r>
    </w:p>
    <w:p>
      <w:pPr>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榕城区总工会部门预算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榕城区总工会概况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2016</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2016</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榕城区总工会概况</w:t>
      </w:r>
    </w:p>
    <w:p>
      <w:pPr>
        <w:rPr>
          <w:rFonts w:ascii="黑体" w:hAnsi="黑体" w:eastAsia="黑体" w:cs="Times New Roman"/>
          <w:sz w:val="44"/>
          <w:szCs w:val="44"/>
        </w:rPr>
      </w:pPr>
    </w:p>
    <w:p>
      <w:pPr>
        <w:ind w:firstLine="643" w:firstLineChars="200"/>
        <w:rPr>
          <w:rFonts w:ascii="仿宋_GB2312" w:eastAsia="仿宋_GB2312"/>
          <w:b/>
          <w:bCs/>
          <w:sz w:val="32"/>
          <w:szCs w:val="32"/>
        </w:rPr>
      </w:pPr>
      <w:r>
        <w:rPr>
          <w:rFonts w:hint="eastAsia" w:ascii="仿宋_GB2312" w:eastAsia="仿宋_GB2312"/>
          <w:b/>
          <w:bCs/>
          <w:sz w:val="32"/>
          <w:szCs w:val="32"/>
        </w:rPr>
        <w:t>一、主要职责</w:t>
      </w:r>
    </w:p>
    <w:p>
      <w:pPr>
        <w:spacing w:line="50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榕城区总工会是区委领导下负责工会工作的群众团体。其主要任务是：</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（一）贯彻落实党和国家关于工会工作的方针政策，研究、制订全区工会工作计划，并组织实施。</w:t>
      </w:r>
    </w:p>
    <w:p>
      <w:pPr>
        <w:spacing w:line="500" w:lineRule="exact"/>
        <w:ind w:firstLine="467" w:firstLineChars="146"/>
        <w:rPr>
          <w:rFonts w:ascii="仿宋_GB2312" w:hAnsi="宋体" w:eastAsia="仿宋_GB2312"/>
          <w:bCs/>
          <w:color w:val="000000"/>
          <w:sz w:val="32"/>
          <w:szCs w:val="32"/>
        </w:rPr>
      </w:pPr>
      <w:r>
        <w:rPr>
          <w:rFonts w:hint="eastAsia" w:ascii="仿宋_GB2312" w:hAnsi="宋体" w:eastAsia="仿宋_GB2312"/>
          <w:bCs/>
          <w:color w:val="000000"/>
          <w:sz w:val="32"/>
          <w:szCs w:val="32"/>
        </w:rPr>
        <w:t>（二）依法组建工会和发展工会会员。指导基层工会的组织建设，做好工会干部培训教育工作。</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（三）指导基层工会参与民主管理，对企事业的劳动安全卫生保护实施职工群众监督检查，依法调处劳动关系。</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（四）协助有关部门做好职工生活福利和社会保障工作，维护职工合法权益。</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（五）组织、指导职工开展劳动竞赛、技术革新、合理化建议、职工群众科技活动，做好劳模、先进生产（工作）者及先进集体的评选推荐和管理工作。</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（六）指导基层工会开展职工的政治思想、文化、技术教育和健康的文体、娱乐活动。</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（七）承办区委和市总工会交办的其他事项。</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3" w:firstLineChars="200"/>
        <w:rPr>
          <w:rFonts w:ascii="仿宋_GB2312" w:eastAsia="仿宋_GB2312"/>
          <w:b/>
          <w:bCs/>
          <w:sz w:val="32"/>
          <w:szCs w:val="32"/>
        </w:rPr>
      </w:pPr>
      <w:r>
        <w:rPr>
          <w:rFonts w:hint="eastAsia" w:ascii="仿宋_GB2312" w:eastAsia="仿宋_GB2312"/>
          <w:b/>
          <w:bCs/>
          <w:sz w:val="32"/>
          <w:szCs w:val="32"/>
        </w:rPr>
        <w:t>二、机构设置</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（一）部门预算为本级预算。</w:t>
      </w:r>
    </w:p>
    <w:p>
      <w:pPr>
        <w:ind w:firstLine="640" w:firstLineChars="200"/>
        <w:jc w:val="left"/>
        <w:rPr>
          <w:rFonts w:ascii="仿宋_GB2312" w:eastAsia="仿宋_GB2312"/>
          <w:sz w:val="32"/>
          <w:szCs w:val="32"/>
        </w:rPr>
      </w:pPr>
      <w:r>
        <w:rPr>
          <w:rFonts w:hint="eastAsia" w:ascii="仿宋_GB2312" w:eastAsia="仿宋_GB2312"/>
          <w:sz w:val="32"/>
          <w:szCs w:val="32"/>
        </w:rPr>
        <w:t>（二）榕城区总工会设</w:t>
      </w:r>
      <w:r>
        <w:rPr>
          <w:rFonts w:ascii="仿宋_GB2312" w:eastAsia="仿宋_GB2312"/>
          <w:sz w:val="32"/>
          <w:szCs w:val="32"/>
        </w:rPr>
        <w:t>2</w:t>
      </w:r>
      <w:r>
        <w:rPr>
          <w:rFonts w:hint="eastAsia" w:ascii="仿宋_GB2312" w:eastAsia="仿宋_GB2312"/>
          <w:sz w:val="32"/>
          <w:szCs w:val="32"/>
        </w:rPr>
        <w:t>个内设机构：办公室、综合业务部。</w:t>
      </w:r>
      <w:r>
        <w:rPr>
          <w:rFonts w:hint="eastAsia" w:ascii="仿宋_GB2312" w:hAnsi="宋体" w:eastAsia="仿宋_GB2312"/>
          <w:color w:val="000000"/>
          <w:sz w:val="30"/>
          <w:szCs w:val="30"/>
        </w:rPr>
        <w:t>我会行政编制5人，工人文化宫事业编制</w:t>
      </w:r>
      <w:r>
        <w:rPr>
          <w:rFonts w:hint="eastAsia" w:ascii="仿宋_GB2312" w:hAnsi="宋体" w:eastAsia="仿宋_GB2312"/>
          <w:color w:val="000000"/>
          <w:sz w:val="30"/>
          <w:szCs w:val="30"/>
          <w:lang w:val="en-US" w:eastAsia="zh-CN"/>
        </w:rPr>
        <w:t>5</w:t>
      </w:r>
      <w:r>
        <w:rPr>
          <w:rFonts w:hint="eastAsia" w:ascii="仿宋_GB2312" w:hAnsi="宋体" w:eastAsia="仿宋_GB2312"/>
          <w:color w:val="000000"/>
          <w:sz w:val="30"/>
          <w:szCs w:val="30"/>
        </w:rPr>
        <w:t>人，共</w:t>
      </w:r>
      <w:r>
        <w:rPr>
          <w:rFonts w:hint="eastAsia" w:ascii="仿宋_GB2312" w:hAnsi="宋体" w:eastAsia="仿宋_GB2312"/>
          <w:color w:val="000000"/>
          <w:sz w:val="30"/>
          <w:szCs w:val="30"/>
          <w:lang w:val="en-US" w:eastAsia="zh-CN"/>
        </w:rPr>
        <w:t>10</w:t>
      </w:r>
      <w:bookmarkStart w:id="0" w:name="_GoBack"/>
      <w:bookmarkEnd w:id="0"/>
      <w:r>
        <w:rPr>
          <w:rFonts w:hint="eastAsia" w:ascii="仿宋_GB2312" w:hAnsi="宋体" w:eastAsia="仿宋_GB2312"/>
          <w:color w:val="000000"/>
          <w:sz w:val="30"/>
          <w:szCs w:val="30"/>
        </w:rPr>
        <w:t>人。</w:t>
      </w:r>
    </w:p>
    <w:p>
      <w:pPr>
        <w:ind w:firstLine="640" w:firstLineChars="200"/>
        <w:rPr>
          <w:rFonts w:ascii="仿宋_GB2312" w:eastAsia="仿宋_GB2312"/>
          <w:sz w:val="32"/>
          <w:szCs w:val="32"/>
        </w:rPr>
      </w:pPr>
    </w:p>
    <w:p>
      <w:pPr>
        <w:rPr>
          <w:rFonts w:ascii="黑体" w:hAnsi="黑体" w:eastAsia="黑体" w:cs="Times New Roman"/>
          <w:sz w:val="44"/>
          <w:szCs w:val="44"/>
        </w:rPr>
        <w:sectPr>
          <w:pgSz w:w="11906" w:h="16838"/>
          <w:pgMar w:top="1440" w:right="1800" w:bottom="1440" w:left="1800" w:header="851" w:footer="992" w:gutter="0"/>
          <w:cols w:space="425" w:num="1"/>
          <w:docGrid w:type="lines" w:linePitch="312" w:charSpace="0"/>
        </w:sectPr>
      </w:pPr>
      <w:r>
        <w:rPr>
          <w:rFonts w:ascii="黑体" w:hAnsi="黑体" w:eastAsia="黑体" w:cs="黑体"/>
          <w:sz w:val="32"/>
          <w:szCs w:val="32"/>
        </w:rPr>
        <w:t xml:space="preserve">    </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2016</w:t>
      </w:r>
      <w:r>
        <w:rPr>
          <w:rFonts w:hint="eastAsia" w:ascii="方正小标宋简体" w:hAnsi="方正小标宋简体" w:eastAsia="方正小标宋简体" w:cs="方正小标宋简体"/>
          <w:sz w:val="44"/>
          <w:szCs w:val="44"/>
        </w:rPr>
        <w:t>年部门预算表</w:t>
      </w:r>
    </w:p>
    <w:p>
      <w:pPr>
        <w:ind w:firstLine="643" w:firstLineChars="200"/>
        <w:jc w:val="left"/>
        <w:rPr>
          <w:rFonts w:ascii="仿宋_GB2312" w:hAnsi="仿宋_GB2312" w:eastAsia="仿宋_GB2312" w:cs="仿宋_GB2312"/>
          <w:b/>
          <w:bCs/>
          <w:color w:val="FF0000"/>
          <w:sz w:val="32"/>
          <w:szCs w:val="32"/>
          <w:highlight w:val="lightGray"/>
          <w:u w:val="single"/>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表格公开以</w:t>
      </w:r>
      <w:r>
        <w:rPr>
          <w:rFonts w:ascii="仿宋_GB2312" w:eastAsia="仿宋_GB2312"/>
          <w:b/>
          <w:sz w:val="32"/>
          <w:szCs w:val="32"/>
        </w:rPr>
        <w:t>EXCEL</w:t>
      </w:r>
      <w:r>
        <w:rPr>
          <w:rFonts w:hint="eastAsia" w:ascii="仿宋_GB2312" w:eastAsia="仿宋_GB2312"/>
          <w:b/>
          <w:sz w:val="32"/>
          <w:szCs w:val="32"/>
        </w:rPr>
        <w:t>电子表格公开，公开表格另附。</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2016</w:t>
      </w:r>
      <w:r>
        <w:rPr>
          <w:rFonts w:hint="eastAsia" w:ascii="方正小标宋简体" w:hAnsi="方正小标宋简体" w:eastAsia="方正小标宋简体" w:cs="方正小标宋简体"/>
          <w:sz w:val="44"/>
          <w:szCs w:val="44"/>
        </w:rPr>
        <w:t>年部门预算情况说明</w:t>
      </w:r>
    </w:p>
    <w:p>
      <w:pPr>
        <w:rPr>
          <w:rFonts w:ascii="方正小标宋简体" w:hAnsi="方正小标宋简体" w:eastAsia="方正小标宋简体" w:cs="Times New Roman"/>
          <w:sz w:val="44"/>
          <w:szCs w:val="44"/>
        </w:rPr>
      </w:pP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年本部门收入预算</w:t>
      </w:r>
      <w:r>
        <w:rPr>
          <w:rFonts w:ascii="仿宋_GB2312" w:hAnsi="仿宋_GB2312" w:eastAsia="仿宋_GB2312" w:cs="仿宋_GB2312"/>
          <w:sz w:val="32"/>
          <w:szCs w:val="32"/>
        </w:rPr>
        <w:t>71.96</w:t>
      </w:r>
      <w:r>
        <w:rPr>
          <w:rFonts w:hint="eastAsia" w:ascii="仿宋_GB2312" w:hAnsi="仿宋_GB2312" w:eastAsia="仿宋_GB2312" w:cs="仿宋_GB2312"/>
          <w:sz w:val="32"/>
          <w:szCs w:val="32"/>
        </w:rPr>
        <w:t>万元，与上年持平。</w:t>
      </w:r>
    </w:p>
    <w:p>
      <w:pPr>
        <w:ind w:firstLine="640"/>
        <w:rPr>
          <w:rFonts w:ascii="黑体" w:hAnsi="黑体" w:eastAsia="黑体" w:cs="Times New Roman"/>
          <w:sz w:val="32"/>
          <w:szCs w:val="32"/>
        </w:rPr>
      </w:pP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年本部门支出预算</w:t>
      </w:r>
      <w:r>
        <w:rPr>
          <w:rFonts w:ascii="仿宋_GB2312" w:hAnsi="仿宋_GB2312" w:eastAsia="仿宋_GB2312" w:cs="仿宋_GB2312"/>
          <w:sz w:val="32"/>
          <w:szCs w:val="32"/>
        </w:rPr>
        <w:t>71.96</w:t>
      </w:r>
      <w:r>
        <w:rPr>
          <w:rFonts w:hint="eastAsia" w:ascii="仿宋_GB2312" w:hAnsi="仿宋_GB2312" w:eastAsia="仿宋_GB2312" w:cs="仿宋_GB2312"/>
          <w:sz w:val="32"/>
          <w:szCs w:val="32"/>
        </w:rPr>
        <w:t>万元，与上年持平。</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年本部门“三公”经费预算安排</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万元，与上年保持不变。其中：因公出国（境）费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万元，与上年保持不变；公务用车购置及运行费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万元，与上年保持不变；公务接待费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万元，与上年保持不变。</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2016</w:t>
      </w:r>
      <w:r>
        <w:rPr>
          <w:rFonts w:hint="eastAsia" w:ascii="仿宋_GB2312" w:hAnsi="仿宋_GB2312" w:eastAsia="仿宋_GB2312" w:cs="仿宋_GB2312"/>
          <w:sz w:val="32"/>
          <w:szCs w:val="32"/>
        </w:rPr>
        <w:t>年，本部门机关运行经费安排</w:t>
      </w:r>
      <w:r>
        <w:rPr>
          <w:rFonts w:ascii="仿宋_GB2312" w:hAnsi="仿宋_GB2312" w:eastAsia="仿宋_GB2312" w:cs="仿宋_GB2312"/>
          <w:sz w:val="32"/>
          <w:szCs w:val="32"/>
        </w:rPr>
        <w:t>24.67</w:t>
      </w:r>
      <w:r>
        <w:rPr>
          <w:rFonts w:hint="eastAsia" w:ascii="仿宋_GB2312" w:hAnsi="仿宋_GB2312" w:eastAsia="仿宋_GB2312" w:cs="仿宋_GB2312"/>
          <w:sz w:val="32"/>
          <w:szCs w:val="32"/>
        </w:rPr>
        <w:t>万元，比上年减少</w:t>
      </w:r>
      <w:r>
        <w:rPr>
          <w:rFonts w:ascii="仿宋_GB2312" w:hAnsi="仿宋_GB2312" w:eastAsia="仿宋_GB2312" w:cs="仿宋_GB2312"/>
          <w:sz w:val="32"/>
          <w:szCs w:val="32"/>
        </w:rPr>
        <w:t>1.62</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6.77%</w:t>
      </w:r>
      <w:r>
        <w:rPr>
          <w:rFonts w:hint="eastAsia" w:ascii="仿宋_GB2312" w:hAnsi="仿宋_GB2312" w:eastAsia="仿宋_GB2312" w:cs="仿宋_GB2312"/>
          <w:sz w:val="32"/>
          <w:szCs w:val="32"/>
        </w:rPr>
        <w:t>，主要原因：减少其他商品和服务支出</w:t>
      </w:r>
      <w:r>
        <w:rPr>
          <w:rFonts w:ascii="仿宋_GB2312" w:hAnsi="仿宋_GB2312" w:eastAsia="仿宋_GB2312" w:cs="仿宋_GB2312"/>
          <w:sz w:val="32"/>
          <w:szCs w:val="32"/>
        </w:rPr>
        <w:t>1.62</w:t>
      </w:r>
      <w:r>
        <w:rPr>
          <w:rFonts w:hint="eastAsia" w:ascii="仿宋_GB2312" w:hAnsi="仿宋_GB2312" w:eastAsia="仿宋_GB2312" w:cs="仿宋_GB2312"/>
          <w:sz w:val="32"/>
          <w:szCs w:val="32"/>
        </w:rPr>
        <w:t>万元。</w:t>
      </w:r>
    </w:p>
    <w:p>
      <w:pPr>
        <w:numPr>
          <w:ilvl w:val="0"/>
          <w:numId w:val="3"/>
        </w:numPr>
        <w:ind w:left="141" w:leftChars="67" w:firstLine="707" w:firstLineChars="221"/>
        <w:rPr>
          <w:rFonts w:ascii="黑体" w:hAnsi="黑体" w:eastAsia="黑体" w:cs="Times New Roman"/>
          <w:sz w:val="32"/>
          <w:szCs w:val="32"/>
        </w:rPr>
      </w:pPr>
      <w:r>
        <w:rPr>
          <w:rFonts w:hint="eastAsia" w:ascii="黑体" w:hAnsi="黑体" w:eastAsia="黑体" w:cs="黑体"/>
          <w:sz w:val="32"/>
          <w:szCs w:val="32"/>
        </w:rPr>
        <w:t>政府采购情况</w:t>
      </w:r>
    </w:p>
    <w:p>
      <w:pPr>
        <w:ind w:left="141" w:leftChars="67" w:firstLine="707" w:firstLineChars="221"/>
        <w:rPr>
          <w:rFonts w:ascii="仿宋_GB2312" w:hAnsi="仿宋_GB2312" w:eastAsia="仿宋_GB2312" w:cs="Times New Roman"/>
          <w:sz w:val="32"/>
          <w:szCs w:val="32"/>
        </w:rPr>
      </w:pPr>
      <w:r>
        <w:rPr>
          <w:rFonts w:ascii="仿宋_GB2312" w:hAnsi="仿宋_GB2312" w:eastAsia="仿宋_GB2312" w:cs="仿宋_GB2312"/>
          <w:sz w:val="32"/>
          <w:szCs w:val="32"/>
        </w:rPr>
        <w:t xml:space="preserve">    2016</w:t>
      </w:r>
      <w:r>
        <w:rPr>
          <w:rFonts w:hint="eastAsia" w:ascii="仿宋_GB2312" w:hAnsi="仿宋_GB2312" w:eastAsia="仿宋_GB2312" w:cs="仿宋_GB2312"/>
          <w:sz w:val="32"/>
          <w:szCs w:val="32"/>
        </w:rPr>
        <w:t>年本没有安排部门政府采购。</w:t>
      </w:r>
    </w:p>
    <w:p>
      <w:pPr>
        <w:numPr>
          <w:ilvl w:val="0"/>
          <w:numId w:val="3"/>
        </w:numPr>
        <w:ind w:left="141" w:leftChars="67" w:firstLine="707" w:firstLineChars="221"/>
        <w:rPr>
          <w:rFonts w:ascii="黑体" w:hAnsi="黑体" w:eastAsia="黑体" w:cs="Times New Roman"/>
          <w:sz w:val="32"/>
          <w:szCs w:val="32"/>
        </w:rPr>
      </w:pPr>
      <w:r>
        <w:rPr>
          <w:rFonts w:hint="eastAsia" w:ascii="黑体" w:hAnsi="黑体" w:eastAsia="黑体" w:cs="黑体"/>
          <w:sz w:val="32"/>
          <w:szCs w:val="32"/>
        </w:rPr>
        <w:t>国有资产占有使用情况</w:t>
      </w:r>
    </w:p>
    <w:p>
      <w:pPr>
        <w:ind w:left="141" w:leftChars="67" w:firstLine="707" w:firstLineChars="221"/>
        <w:rPr>
          <w:rFonts w:ascii="仿宋_GB2312" w:hAnsi="仿宋_GB2312" w:eastAsia="仿宋_GB2312" w:cs="Times New Roman"/>
          <w:sz w:val="32"/>
          <w:szCs w:val="32"/>
        </w:rPr>
      </w:pPr>
      <w:r>
        <w:rPr>
          <w:rFonts w:hint="eastAsia" w:ascii="仿宋_GB2312" w:eastAsia="仿宋_GB2312"/>
          <w:sz w:val="32"/>
          <w:szCs w:val="32"/>
        </w:rPr>
        <w:t>截至</w:t>
      </w:r>
      <w:r>
        <w:rPr>
          <w:rFonts w:ascii="仿宋_GB2312" w:eastAsia="仿宋_GB2312"/>
          <w:sz w:val="32"/>
          <w:szCs w:val="32"/>
        </w:rPr>
        <w:t>2015</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日，本部门本部门资产总值</w:t>
      </w:r>
      <w:r>
        <w:rPr>
          <w:rFonts w:ascii="仿宋_GB2312" w:eastAsia="仿宋_GB2312"/>
          <w:sz w:val="32"/>
          <w:szCs w:val="32"/>
        </w:rPr>
        <w:t>9.33</w:t>
      </w:r>
      <w:r>
        <w:rPr>
          <w:rFonts w:hint="eastAsia" w:ascii="仿宋_GB2312" w:eastAsia="仿宋_GB2312"/>
          <w:sz w:val="32"/>
          <w:szCs w:val="32"/>
        </w:rPr>
        <w:t>万元，年末有</w:t>
      </w:r>
      <w:r>
        <w:rPr>
          <w:rFonts w:ascii="仿宋_GB2312" w:eastAsia="仿宋_GB2312"/>
          <w:sz w:val="32"/>
          <w:szCs w:val="32"/>
        </w:rPr>
        <w:t>1</w:t>
      </w:r>
      <w:r>
        <w:rPr>
          <w:rFonts w:hint="eastAsia" w:ascii="仿宋_GB2312" w:eastAsia="仿宋_GB2312"/>
          <w:sz w:val="32"/>
          <w:szCs w:val="32"/>
        </w:rPr>
        <w:t>辆公车</w:t>
      </w:r>
      <w:r>
        <w:rPr>
          <w:rFonts w:ascii="仿宋_GB2312" w:eastAsia="仿宋_GB2312"/>
          <w:sz w:val="32"/>
          <w:szCs w:val="32"/>
        </w:rPr>
        <w:t>,</w:t>
      </w:r>
      <w:r>
        <w:rPr>
          <w:rFonts w:hint="eastAsia" w:ascii="仿宋_GB2312" w:eastAsia="仿宋_GB2312"/>
          <w:sz w:val="32"/>
          <w:szCs w:val="32"/>
        </w:rPr>
        <w:t>为一般公务用车</w:t>
      </w:r>
      <w:r>
        <w:rPr>
          <w:rFonts w:ascii="仿宋_GB2312" w:eastAsia="仿宋_GB2312"/>
          <w:sz w:val="32"/>
          <w:szCs w:val="32"/>
        </w:rPr>
        <w:t>,</w:t>
      </w:r>
      <w:r>
        <w:rPr>
          <w:rFonts w:hint="eastAsia" w:ascii="仿宋_GB2312" w:eastAsia="仿宋_GB2312"/>
          <w:sz w:val="32"/>
          <w:szCs w:val="32"/>
        </w:rPr>
        <w:t>其他</w:t>
      </w:r>
      <w:r>
        <w:rPr>
          <w:rFonts w:hint="eastAsia" w:ascii="仿宋_GB2312" w:hAnsi="仿宋_GB2312" w:eastAsia="仿宋_GB2312" w:cs="仿宋_GB2312"/>
          <w:sz w:val="32"/>
          <w:szCs w:val="32"/>
        </w:rPr>
        <w:t>均为办公设备。</w:t>
      </w:r>
      <w:r>
        <w:rPr>
          <w:rFonts w:hint="eastAsia" w:ascii="仿宋_GB2312" w:eastAsia="仿宋_GB2312"/>
          <w:sz w:val="32"/>
          <w:szCs w:val="32"/>
        </w:rPr>
        <w:t>单位没有价值</w:t>
      </w:r>
      <w:r>
        <w:rPr>
          <w:rFonts w:ascii="仿宋_GB2312" w:eastAsia="仿宋_GB2312"/>
          <w:sz w:val="32"/>
          <w:szCs w:val="32"/>
        </w:rPr>
        <w:t>50</w:t>
      </w:r>
      <w:r>
        <w:rPr>
          <w:rFonts w:hint="eastAsia" w:ascii="仿宋_GB2312" w:eastAsia="仿宋_GB2312"/>
          <w:sz w:val="32"/>
          <w:szCs w:val="32"/>
        </w:rPr>
        <w:t>万元以上通用设备，没有单价</w:t>
      </w:r>
      <w:r>
        <w:rPr>
          <w:rFonts w:ascii="仿宋_GB2312" w:eastAsia="仿宋_GB2312"/>
          <w:sz w:val="32"/>
          <w:szCs w:val="32"/>
        </w:rPr>
        <w:t>100</w:t>
      </w:r>
      <w:r>
        <w:rPr>
          <w:rFonts w:hint="eastAsia" w:ascii="仿宋_GB2312" w:eastAsia="仿宋_GB2312"/>
          <w:sz w:val="32"/>
          <w:szCs w:val="32"/>
        </w:rPr>
        <w:t>万元以上专用设备。</w:t>
      </w:r>
    </w:p>
    <w:p>
      <w:pPr>
        <w:numPr>
          <w:ilvl w:val="0"/>
          <w:numId w:val="3"/>
        </w:numPr>
        <w:ind w:left="141" w:leftChars="67" w:firstLine="707" w:firstLineChars="221"/>
        <w:rPr>
          <w:rFonts w:ascii="黑体" w:hAnsi="黑体" w:eastAsia="黑体" w:cs="Times New Roman"/>
          <w:sz w:val="32"/>
          <w:szCs w:val="32"/>
        </w:rPr>
      </w:pPr>
      <w:r>
        <w:rPr>
          <w:rFonts w:hint="eastAsia" w:ascii="黑体" w:hAnsi="黑体" w:eastAsia="黑体" w:cs="黑体"/>
          <w:sz w:val="32"/>
          <w:szCs w:val="32"/>
        </w:rPr>
        <w:t>预算绩效信息公开情况</w:t>
      </w:r>
      <w:r>
        <w:rPr>
          <w:rFonts w:hint="eastAsia" w:ascii="黑体" w:hAnsi="黑体" w:eastAsia="黑体" w:cs="黑体"/>
          <w:sz w:val="32"/>
          <w:szCs w:val="32"/>
          <w:lang w:val="en-US" w:eastAsia="zh-CN"/>
        </w:rPr>
        <w:t>:不适用。</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numPr>
          <w:ilvl w:val="0"/>
          <w:numId w:val="4"/>
        </w:numPr>
        <w:spacing w:line="288" w:lineRule="auto"/>
        <w:ind w:firstLine="630" w:firstLineChars="196"/>
        <w:rPr>
          <w:rFonts w:ascii="仿宋_GB2312" w:eastAsia="仿宋_GB2312"/>
          <w:sz w:val="32"/>
          <w:szCs w:val="32"/>
        </w:rPr>
      </w:pPr>
      <w:r>
        <w:rPr>
          <w:rFonts w:hint="eastAsia" w:ascii="仿宋_GB2312" w:eastAsia="仿宋_GB2312" w:cs="Times New Roman"/>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ind w:firstLine="643" w:firstLineChars="200"/>
        <w:jc w:val="left"/>
        <w:rPr>
          <w:rFonts w:ascii="楷体_GB2312" w:hAnsi="楷体_GB2312" w:eastAsia="楷体_GB2312" w:cs="Times New Roman"/>
          <w:sz w:val="32"/>
          <w:szCs w:val="32"/>
          <w:highlight w:val="lightGray"/>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565" w:firstLineChars="176"/>
        <w:rPr>
          <w:rFonts w:ascii="仿宋_GB2312" w:hAnsi="仿宋_GB2312" w:eastAsia="仿宋_GB2312" w:cs="Times New Roman"/>
          <w:sz w:val="32"/>
          <w:szCs w:val="32"/>
        </w:rPr>
      </w:pPr>
      <w:r>
        <w:rPr>
          <w:rFonts w:hint="eastAsia" w:ascii="仿宋_GB2312" w:eastAsia="仿宋_GB2312"/>
          <w:b/>
          <w:sz w:val="32"/>
          <w:szCs w:val="32"/>
        </w:rPr>
        <w:t>十四、行政经费：</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基本支出。一是包括工资、津贴及奖金、医疗费、住房补贴等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不包括离退休支出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包括离退休人员管理机</w:t>
      </w:r>
      <w:r>
        <w:rPr>
          <w:rFonts w:hint="eastAsia" w:ascii="宋体" w:hAnsi="宋体" w:cs="宋体"/>
          <w:sz w:val="32"/>
          <w:szCs w:val="32"/>
        </w:rPr>
        <w:t>枃</w:t>
      </w:r>
      <w:r>
        <w:rPr>
          <w:rFonts w:hint="eastAsia" w:ascii="仿宋_GB2312" w:hAnsi="仿宋_GB2312" w:eastAsia="仿宋_GB2312" w:cs="仿宋_GB2312"/>
          <w:sz w:val="32"/>
          <w:szCs w:val="32"/>
        </w:rPr>
        <w:t>的在职人员支出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二是包括办公及印刷费、水电费、邮电费、取暖费、交通费、差旅费、会议费、福利费、物业管理费、日常维修费、专用材料费、一般购置费等公用经费支出。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非行政单位不纳入统计范围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一般行政管理项目支出。具体包括出国费、招待费、会议费、办公用房维修租赁、购置费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包括设备、计算机、车辆等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、干部培训费、执法部门办案、信息网络运行维护等。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rPr>
        <w:rFonts w:cs="Times New Roman"/>
      </w:rPr>
    </w:lvl>
  </w:abstractNum>
  <w:abstractNum w:abstractNumId="1">
    <w:nsid w:val="5A5F2384"/>
    <w:multiLevelType w:val="singleLevel"/>
    <w:tmpl w:val="5A5F2384"/>
    <w:lvl w:ilvl="0" w:tentative="0">
      <w:start w:val="1"/>
      <w:numFmt w:val="chineseCounting"/>
      <w:suff w:val="nothing"/>
      <w:lvlText w:val="%1、"/>
      <w:lvlJc w:val="left"/>
      <w:rPr>
        <w:rFonts w:cs="Times New Roman"/>
      </w:rPr>
    </w:lvl>
  </w:abstractNum>
  <w:abstractNum w:abstractNumId="2">
    <w:nsid w:val="5A5F50C1"/>
    <w:multiLevelType w:val="singleLevel"/>
    <w:tmpl w:val="5A5F50C1"/>
    <w:lvl w:ilvl="0" w:tentative="0">
      <w:start w:val="1"/>
      <w:numFmt w:val="chineseCounting"/>
      <w:suff w:val="nothing"/>
      <w:lvlText w:val="%1、"/>
      <w:lvlJc w:val="left"/>
      <w:rPr>
        <w:rFonts w:cs="Times New Roman"/>
      </w:rPr>
    </w:lvl>
  </w:abstractNum>
  <w:abstractNum w:abstractNumId="3">
    <w:nsid w:val="5A600927"/>
    <w:multiLevelType w:val="singleLevel"/>
    <w:tmpl w:val="5A600927"/>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023B1"/>
    <w:rsid w:val="00007E33"/>
    <w:rsid w:val="00040C86"/>
    <w:rsid w:val="00043FFF"/>
    <w:rsid w:val="00081822"/>
    <w:rsid w:val="00082D6C"/>
    <w:rsid w:val="000A1C5D"/>
    <w:rsid w:val="000C549E"/>
    <w:rsid w:val="000C7F2E"/>
    <w:rsid w:val="00170D99"/>
    <w:rsid w:val="001B214B"/>
    <w:rsid w:val="001C3288"/>
    <w:rsid w:val="001E1927"/>
    <w:rsid w:val="001E3EAF"/>
    <w:rsid w:val="001F1CE9"/>
    <w:rsid w:val="00201B59"/>
    <w:rsid w:val="00270BF3"/>
    <w:rsid w:val="00274487"/>
    <w:rsid w:val="00280018"/>
    <w:rsid w:val="002A6EF3"/>
    <w:rsid w:val="002A7FD0"/>
    <w:rsid w:val="002B3CA4"/>
    <w:rsid w:val="00310CB1"/>
    <w:rsid w:val="00310F25"/>
    <w:rsid w:val="00325012"/>
    <w:rsid w:val="00340BBE"/>
    <w:rsid w:val="003C4EF5"/>
    <w:rsid w:val="003D45DD"/>
    <w:rsid w:val="003F4DF0"/>
    <w:rsid w:val="00430B12"/>
    <w:rsid w:val="004311F2"/>
    <w:rsid w:val="00457973"/>
    <w:rsid w:val="0048044A"/>
    <w:rsid w:val="004B1776"/>
    <w:rsid w:val="004B1A95"/>
    <w:rsid w:val="004D3CD4"/>
    <w:rsid w:val="005228AB"/>
    <w:rsid w:val="005257CA"/>
    <w:rsid w:val="0055749D"/>
    <w:rsid w:val="005C5F68"/>
    <w:rsid w:val="005D0FF4"/>
    <w:rsid w:val="0064307C"/>
    <w:rsid w:val="00650FA0"/>
    <w:rsid w:val="00696EC1"/>
    <w:rsid w:val="006E656A"/>
    <w:rsid w:val="007070E7"/>
    <w:rsid w:val="007750DB"/>
    <w:rsid w:val="0078185E"/>
    <w:rsid w:val="007849E2"/>
    <w:rsid w:val="007854B3"/>
    <w:rsid w:val="0079357E"/>
    <w:rsid w:val="007D27E5"/>
    <w:rsid w:val="007D33FC"/>
    <w:rsid w:val="007E2CBE"/>
    <w:rsid w:val="007E5559"/>
    <w:rsid w:val="007E6DBB"/>
    <w:rsid w:val="007F34CA"/>
    <w:rsid w:val="00805EF7"/>
    <w:rsid w:val="0083364E"/>
    <w:rsid w:val="00845089"/>
    <w:rsid w:val="008805E3"/>
    <w:rsid w:val="008A2245"/>
    <w:rsid w:val="00935C84"/>
    <w:rsid w:val="009737FE"/>
    <w:rsid w:val="00985650"/>
    <w:rsid w:val="00987044"/>
    <w:rsid w:val="00A027A4"/>
    <w:rsid w:val="00A70435"/>
    <w:rsid w:val="00A74940"/>
    <w:rsid w:val="00A863AE"/>
    <w:rsid w:val="00AA1AAE"/>
    <w:rsid w:val="00AD48BC"/>
    <w:rsid w:val="00B45154"/>
    <w:rsid w:val="00B83294"/>
    <w:rsid w:val="00BA0B30"/>
    <w:rsid w:val="00BA45FA"/>
    <w:rsid w:val="00BC1F8B"/>
    <w:rsid w:val="00C44E19"/>
    <w:rsid w:val="00C56922"/>
    <w:rsid w:val="00C67225"/>
    <w:rsid w:val="00CA325B"/>
    <w:rsid w:val="00CB3186"/>
    <w:rsid w:val="00D27C14"/>
    <w:rsid w:val="00D429A5"/>
    <w:rsid w:val="00D94521"/>
    <w:rsid w:val="00D979C5"/>
    <w:rsid w:val="00DA6EFC"/>
    <w:rsid w:val="00DF12E9"/>
    <w:rsid w:val="00E55744"/>
    <w:rsid w:val="00E70AA7"/>
    <w:rsid w:val="00EA6E9F"/>
    <w:rsid w:val="00EC2C8E"/>
    <w:rsid w:val="00EF1F08"/>
    <w:rsid w:val="00F1553E"/>
    <w:rsid w:val="00F52BDE"/>
    <w:rsid w:val="00F56235"/>
    <w:rsid w:val="00FC16F7"/>
    <w:rsid w:val="00FE3826"/>
    <w:rsid w:val="0BAC3225"/>
    <w:rsid w:val="10E57EF6"/>
    <w:rsid w:val="13016A31"/>
    <w:rsid w:val="20EE6A13"/>
    <w:rsid w:val="32AF195C"/>
    <w:rsid w:val="36E602DD"/>
    <w:rsid w:val="50CB6A87"/>
    <w:rsid w:val="5C001209"/>
    <w:rsid w:val="60E37A9B"/>
    <w:rsid w:val="63270DA6"/>
    <w:rsid w:val="66D06120"/>
    <w:rsid w:val="6A233195"/>
    <w:rsid w:val="6D9B07DA"/>
    <w:rsid w:val="6EB24480"/>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qFormat/>
    <w:locked/>
    <w:uiPriority w:val="99"/>
    <w:rPr>
      <w:rFonts w:ascii="Calibri" w:hAnsi="Calibri" w:cs="Calibri"/>
      <w:kern w:val="2"/>
      <w:sz w:val="18"/>
      <w:szCs w:val="18"/>
    </w:rPr>
  </w:style>
  <w:style w:type="character" w:customStyle="1" w:styleId="8">
    <w:name w:val="Footer Char"/>
    <w:basedOn w:val="5"/>
    <w:link w:val="3"/>
    <w:qFormat/>
    <w:locked/>
    <w:uiPriority w:val="99"/>
    <w:rPr>
      <w:rFonts w:ascii="Calibri" w:hAnsi="Calibri" w:cs="Calibri"/>
      <w:kern w:val="2"/>
      <w:sz w:val="18"/>
      <w:szCs w:val="18"/>
    </w:rPr>
  </w:style>
  <w:style w:type="character" w:customStyle="1" w:styleId="9">
    <w:name w:val="Date Char"/>
    <w:basedOn w:val="5"/>
    <w:link w:val="2"/>
    <w:semiHidden/>
    <w:qFormat/>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9</Pages>
  <Words>365</Words>
  <Characters>2081</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2018-04-03T01:49:00Z</dcterms:created>
  <dc:creator>huangzj</dc:creator>
  <cp:lastModifiedBy>rcqzgh</cp:lastModifiedBy>
  <cp:lastPrinted>2018-02-09T07:39:00Z</cp:lastPrinted>
  <dcterms:modified xsi:type="dcterms:W3CDTF">2018-04-04T05:02:56Z</dcterms:modified>
  <dc:title>**年</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