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区安监局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公开情况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both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榕城区安监局</w:t>
      </w:r>
      <w:r>
        <w:rPr>
          <w:rFonts w:hint="eastAsia" w:ascii="黑体" w:hAnsi="黑体" w:eastAsia="黑体" w:cs="黑体"/>
          <w:sz w:val="32"/>
          <w:szCs w:val="32"/>
        </w:rPr>
        <w:t>概况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2016</w:t>
      </w:r>
      <w:r>
        <w:rPr>
          <w:rFonts w:hint="eastAsia" w:ascii="黑体" w:hAnsi="黑体" w:eastAsia="黑体" w:cs="黑体"/>
          <w:sz w:val="32"/>
          <w:szCs w:val="32"/>
        </w:rPr>
        <w:t>年部门预算表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支出总体情况表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部门预算基本支出预算表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部门预算项目支出及其他支出预算表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2016</w:t>
      </w:r>
      <w:r>
        <w:rPr>
          <w:rFonts w:hint="eastAsia" w:ascii="黑体" w:hAnsi="黑体" w:eastAsia="黑体" w:cs="黑体"/>
          <w:sz w:val="32"/>
          <w:szCs w:val="32"/>
        </w:rPr>
        <w:t>年部门预算情况说明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名词解释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榕城区安监局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rPr>
          <w:rFonts w:ascii="黑体" w:hAnsi="黑体" w:eastAsia="黑体" w:cs="Times New Roman"/>
          <w:sz w:val="44"/>
          <w:szCs w:val="44"/>
        </w:rPr>
      </w:pPr>
    </w:p>
    <w:p>
      <w:pPr>
        <w:numPr>
          <w:ilvl w:val="0"/>
          <w:numId w:val="3"/>
        </w:num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ind w:firstLine="640" w:firstLineChars="200"/>
        <w:rPr>
          <w:rFonts w:hint="eastAsia" w:ascii="仿宋_GB2312" w:hAnsi="宋体" w:eastAsia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pacing w:val="6"/>
          <w:sz w:val="32"/>
          <w:szCs w:val="32"/>
        </w:rPr>
        <w:t>贯彻执行国家和省有关安全生产工作的方针政策和法律法规，组织拟订全区安全生产工作规划。</w:t>
      </w:r>
    </w:p>
    <w:p>
      <w:pPr>
        <w:ind w:firstLine="664" w:firstLineChars="200"/>
        <w:rPr>
          <w:rFonts w:hint="eastAsia" w:ascii="仿宋_GB2312" w:hAnsi="宋体" w:eastAsia="仿宋_GB2312"/>
          <w:spacing w:val="6"/>
          <w:sz w:val="32"/>
          <w:szCs w:val="32"/>
        </w:rPr>
      </w:pPr>
      <w:r>
        <w:rPr>
          <w:rFonts w:hint="eastAsia" w:ascii="仿宋_GB2312" w:hAnsi="宋体" w:eastAsia="仿宋_GB2312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/>
          <w:spacing w:val="6"/>
          <w:sz w:val="32"/>
          <w:szCs w:val="32"/>
        </w:rPr>
        <w:t>监督有关部门和各街道办事处安全生产工作。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pacing w:val="6"/>
          <w:sz w:val="32"/>
          <w:szCs w:val="32"/>
        </w:rPr>
        <w:t>组织全区安全生产大检查和专项督查，依法组织安全事故调查处理和办理结案工作。</w:t>
      </w:r>
    </w:p>
    <w:p>
      <w:pPr>
        <w:ind w:firstLine="664" w:firstLineChars="200"/>
        <w:rPr>
          <w:rFonts w:hint="eastAsia" w:ascii="仿宋_GB2312" w:hAnsi="宋体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spacing w:val="6"/>
          <w:sz w:val="32"/>
          <w:szCs w:val="32"/>
        </w:rPr>
        <w:t>负责安全生产行政执法统计分析工作。</w:t>
      </w:r>
    </w:p>
    <w:p>
      <w:pPr>
        <w:ind w:firstLine="664" w:firstLineChars="200"/>
        <w:rPr>
          <w:rFonts w:hint="eastAsia" w:ascii="仿宋_GB2312" w:hAnsi="宋体" w:eastAsia="仿宋_GB2312"/>
          <w:spacing w:val="6"/>
          <w:sz w:val="32"/>
          <w:szCs w:val="32"/>
        </w:rPr>
      </w:pPr>
      <w:r>
        <w:rPr>
          <w:rFonts w:hint="eastAsia" w:ascii="仿宋_GB2312" w:hAnsi="宋体" w:eastAsia="仿宋_GB2312"/>
          <w:spacing w:val="6"/>
          <w:sz w:val="32"/>
          <w:szCs w:val="32"/>
          <w:lang w:eastAsia="zh-CN"/>
        </w:rPr>
        <w:t>（五）</w:t>
      </w:r>
      <w:r>
        <w:rPr>
          <w:rFonts w:hint="eastAsia" w:ascii="仿宋_GB2312" w:hAnsi="宋体" w:eastAsia="仿宋_GB2312"/>
          <w:spacing w:val="6"/>
          <w:sz w:val="32"/>
          <w:szCs w:val="32"/>
        </w:rPr>
        <w:t>负责监督管理工矿商贸企业安全生产工作。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hAnsi="宋体" w:eastAsia="仿宋_GB2312"/>
          <w:spacing w:val="6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spacing w:val="6"/>
          <w:sz w:val="32"/>
          <w:szCs w:val="32"/>
        </w:rPr>
        <w:t>负责危险化学品和烟花爆竹生产、经营的安全监督管理工作。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hAnsi="宋体" w:eastAsia="仿宋_GB2312"/>
          <w:spacing w:val="6"/>
          <w:sz w:val="32"/>
          <w:szCs w:val="32"/>
          <w:lang w:eastAsia="zh-CN"/>
        </w:rPr>
        <w:t>（七）</w:t>
      </w:r>
      <w:r>
        <w:rPr>
          <w:rFonts w:hint="eastAsia" w:ascii="仿宋_GB2312" w:eastAsia="仿宋_GB2312"/>
          <w:spacing w:val="6"/>
          <w:sz w:val="32"/>
          <w:szCs w:val="32"/>
        </w:rPr>
        <w:t>监督指导全区工矿商贸行业依法执行安全生产标准和规程，监督检查重大事故隐患排查治理工作，依法查处安全生产违法行为。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（八）</w:t>
      </w:r>
      <w:r>
        <w:rPr>
          <w:rFonts w:hint="eastAsia" w:ascii="仿宋_GB2312" w:eastAsia="仿宋_GB2312"/>
          <w:spacing w:val="6"/>
          <w:sz w:val="32"/>
          <w:szCs w:val="32"/>
        </w:rPr>
        <w:t>负责全区安全生产应急救援体系建设工作，组织制定和综合管理全区安全生产应急预案，负责组织指挥和协调安全生产应急救援工作。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（九）</w:t>
      </w:r>
      <w:r>
        <w:rPr>
          <w:rFonts w:hint="eastAsia" w:ascii="仿宋_GB2312" w:eastAsia="仿宋_GB2312"/>
          <w:spacing w:val="6"/>
          <w:sz w:val="32"/>
          <w:szCs w:val="32"/>
        </w:rPr>
        <w:t>负责监督检查新建、改建、扩建工程项目的安全设施与主体工程同时设计、同时施工、同时投产使用情况。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（十）</w:t>
      </w:r>
      <w:r>
        <w:rPr>
          <w:rFonts w:hint="eastAsia" w:ascii="仿宋_GB2312" w:eastAsia="仿宋_GB2312"/>
          <w:spacing w:val="6"/>
          <w:sz w:val="32"/>
          <w:szCs w:val="32"/>
        </w:rPr>
        <w:t>组织指导安全生产宣传教育工作。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（十一）</w:t>
      </w:r>
      <w:r>
        <w:rPr>
          <w:rFonts w:hint="eastAsia" w:ascii="仿宋_GB2312" w:eastAsia="仿宋_GB2312"/>
          <w:spacing w:val="6"/>
          <w:sz w:val="32"/>
          <w:szCs w:val="32"/>
        </w:rPr>
        <w:t>指导协调全区安全生产检测检验工作，监督管理安全生产社会中介机构。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（十二）</w:t>
      </w:r>
      <w:r>
        <w:rPr>
          <w:rFonts w:hint="eastAsia" w:ascii="仿宋_GB2312" w:eastAsia="仿宋_GB2312"/>
          <w:spacing w:val="6"/>
          <w:sz w:val="32"/>
          <w:szCs w:val="32"/>
        </w:rPr>
        <w:t>组织指导协调和监督全区安全生产行政执法工作，负责重大危险源监控的监督检查。</w:t>
      </w:r>
    </w:p>
    <w:p>
      <w:pPr>
        <w:ind w:firstLine="664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（十三）</w:t>
      </w:r>
      <w:r>
        <w:rPr>
          <w:rFonts w:hint="eastAsia" w:ascii="仿宋_GB2312" w:eastAsia="仿宋_GB2312"/>
          <w:spacing w:val="6"/>
          <w:sz w:val="32"/>
          <w:szCs w:val="32"/>
        </w:rPr>
        <w:t>承担区安全生产委员会的日常工作和区人民政府、市安全生产监督管理局交办的其他事项。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>
      <w:pPr>
        <w:ind w:firstLine="320" w:firstLineChars="1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本部门无下属单位，部门预算为局本级预算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/>
          <w:sz w:val="32"/>
          <w:szCs w:val="32"/>
        </w:rPr>
        <w:t>根据上述职责，我局设有4个内设机构，分别是综合协调股、安全监察管理股、执法监察分局（加挂执法监察大队牌子）和应急管理股。人员编制为10名，分别为行政编制2名，行政执法编制8名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，人员构成为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名，分别为局长1名，副局长2名，主任科员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2名，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科员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名，办事员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1名。</w:t>
      </w:r>
    </w:p>
    <w:p>
      <w:pPr>
        <w:ind w:firstLine="440" w:firstLineChars="100"/>
        <w:jc w:val="both"/>
        <w:rPr>
          <w:rFonts w:ascii="楷体_GB2312" w:hAnsi="楷体_GB2312" w:eastAsia="楷体_GB2312" w:cs="Times New Roman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年部门预算表</w:t>
      </w:r>
    </w:p>
    <w:p>
      <w:pPr>
        <w:ind w:firstLine="640" w:firstLineChars="200"/>
        <w:rPr>
          <w:rFonts w:cs="Times New Roma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表格公开以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EXCEL电子表格公开。</w:t>
      </w:r>
    </w:p>
    <w:p>
      <w:pPr>
        <w:ind w:firstLine="440" w:firstLineChars="100"/>
        <w:jc w:val="both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年部门预算情况说明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部门预算收支增减变化情况</w:t>
      </w:r>
    </w:p>
    <w:p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年本部门收入预算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17.55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人员减少及公用支出减少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；支出预算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17.55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人员减少及公用支出减少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年本部门“三公”经费预算安排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66.67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公务用车使用少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。其中：其中：因公出国（境）费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与上年保持不变；公务用车购置及运行费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66.67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公务用车使用少；公务接待费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%，主要原因是与上年保持不变。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年，本部门机关运行经费安排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0.56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其他交通费用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5.40万元，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政府采购情况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年本部门政府采购安排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万元，其中：货物类采购预算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万元，工程类采购预算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万元，服务类采购预算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国有资产占有使用情况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日，本部门占有使用国有资产总体情况为：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772521</w:t>
      </w:r>
      <w:r>
        <w:rPr>
          <w:rFonts w:hint="eastAsia" w:ascii="仿宋_GB2312" w:hAnsi="宋体" w:eastAsia="仿宋_GB2312"/>
          <w:sz w:val="32"/>
          <w:szCs w:val="32"/>
        </w:rPr>
        <w:t>.25元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，分布构成情况为：</w:t>
      </w:r>
      <w:r>
        <w:rPr>
          <w:rFonts w:hint="eastAsia" w:ascii="仿宋_GB2312" w:hAnsi="宋体" w:eastAsia="仿宋_GB2312"/>
          <w:sz w:val="32"/>
          <w:szCs w:val="32"/>
        </w:rPr>
        <w:t>空调22套，家具、用具、装具6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套，电脑、打印机及其他通用设备49套，专业设备3套；共有车辆2辆，都是一般公务用车。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预算绩效信息公开情况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2016，本单位没有推进预算绩效信息公开的项目。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名词解释</w:t>
      </w:r>
    </w:p>
    <w:p>
      <w:pPr>
        <w:spacing w:line="288" w:lineRule="auto"/>
        <w:ind w:left="1" w:firstLine="630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b/>
          <w:sz w:val="32"/>
          <w:szCs w:val="32"/>
        </w:rPr>
        <w:t>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spacing w:line="288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/>
          <w:sz w:val="32"/>
          <w:szCs w:val="32"/>
        </w:rPr>
        <w:t>机关运行经费：</w:t>
      </w:r>
      <w:r>
        <w:rPr>
          <w:rFonts w:hint="eastAsia" w:ascii="仿宋_GB2312" w:eastAsia="仿宋_GB2312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b/>
          <w:sz w:val="32"/>
          <w:szCs w:val="32"/>
        </w:rPr>
        <w:t>财政拨款收入：</w:t>
      </w:r>
      <w:r>
        <w:rPr>
          <w:rFonts w:hint="eastAsia" w:ascii="仿宋_GB2312" w:eastAsia="仿宋_GB2312"/>
          <w:sz w:val="32"/>
          <w:szCs w:val="32"/>
        </w:rPr>
        <w:t>指财政当年拨付的资金事业收入。</w:t>
      </w:r>
    </w:p>
    <w:p>
      <w:pPr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b/>
          <w:sz w:val="32"/>
          <w:szCs w:val="32"/>
        </w:rPr>
        <w:t>基本支出：</w:t>
      </w:r>
      <w:r>
        <w:rPr>
          <w:rFonts w:hint="eastAsia" w:ascii="仿宋_GB2312" w:eastAsia="仿宋_GB2312"/>
          <w:sz w:val="32"/>
          <w:szCs w:val="32"/>
        </w:rPr>
        <w:t>指为保障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机构正常运转、完成日常工作任务面发生的人员支出和公用支出。</w:t>
      </w:r>
    </w:p>
    <w:p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5FA"/>
    <w:rsid w:val="00170D99"/>
    <w:rsid w:val="00274487"/>
    <w:rsid w:val="002A6EF3"/>
    <w:rsid w:val="002B3CA4"/>
    <w:rsid w:val="00325012"/>
    <w:rsid w:val="003C4EF5"/>
    <w:rsid w:val="003F4DF0"/>
    <w:rsid w:val="005228AB"/>
    <w:rsid w:val="0055749D"/>
    <w:rsid w:val="005D0FF4"/>
    <w:rsid w:val="006E656A"/>
    <w:rsid w:val="007E2CBE"/>
    <w:rsid w:val="007E6DBB"/>
    <w:rsid w:val="00BA45FA"/>
    <w:rsid w:val="00E55744"/>
    <w:rsid w:val="00F52BDE"/>
    <w:rsid w:val="06FE262C"/>
    <w:rsid w:val="13016A31"/>
    <w:rsid w:val="20EE6A13"/>
    <w:rsid w:val="22703DA3"/>
    <w:rsid w:val="25AE7E5C"/>
    <w:rsid w:val="36E602DD"/>
    <w:rsid w:val="50CB6A87"/>
    <w:rsid w:val="558341F0"/>
    <w:rsid w:val="5D437EEE"/>
    <w:rsid w:val="604424A4"/>
    <w:rsid w:val="60E37A9B"/>
    <w:rsid w:val="66D06120"/>
    <w:rsid w:val="69DA3B1C"/>
    <w:rsid w:val="6D9B07DA"/>
    <w:rsid w:val="790F3ADD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237</Words>
  <Characters>1351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LYT</cp:lastModifiedBy>
  <cp:lastPrinted>2018-02-09T07:39:00Z</cp:lastPrinted>
  <dcterms:modified xsi:type="dcterms:W3CDTF">2018-04-04T04:00:32Z</dcterms:modified>
  <dc:title>**年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