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农药安全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eastAsia="zh-CN"/>
        </w:rPr>
        <w:t>生产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使用规定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30"/>
          <w:szCs w:val="30"/>
        </w:rPr>
      </w:pP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ind w:left="0" w:leftChars="0" w:right="0" w:rightChars="0" w:firstLine="600" w:firstLineChars="200"/>
        <w:jc w:val="left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施用化学农药，防治病、虫、草、鼠害，是夺取农业丰收的重要措施。如果使用不当，亦会污染环境和农畜产品，造成人、畜中毒或死亡。为了保证安全生产，特作如下规定：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一、农药分类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根据目前农业生产上常用农药（原药）的毒性综合评价（急性口服、经皮毒性、慢性毒性等），分为高毒、中等毒、低毒三类。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1、高毒农药　有3911、苏化203、1605、甲基1605、1059、杀螟威、久效磷、磷胺、甲胺磷、异丙磷、三硫磷、氧化乐果、磷化锌、磷化铝、氰化物、呋喃丹、氟乙酰胺、砒霜、杀虫脒、西力生、赛力散、溃疡净、氯化苦、五氯酚、二溴氯丙烷、401等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2、中等毒农药　有杀螟松、乐果、稻丰散、乙硫磷、亚胺硫磷、皮蝇磷、六六六、高丙体六六六、毒杀芬、氯丹、滴滴涕、西维因、害扑威、叶蝉散、速灭威、混灭威、抗蚜威，倍硫磷、敌敌畏、拟除虫菊酯类、克瘟散，稻瘟净、敌克松、402、福美砷、稻脚青、退菌特、代森铵、代森环、242滴、燕麦敌、毒草胺等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3、低毒农药　有敌百虫、马拉松、乙酰甲胺磷、辛硫磷、三氯杀螨醇、多菌灵、托布津、克菌丹、代森锌、福美双、萎锈灵、异稻瘟净、乙磷铝、百菌清、除草醚、敌稗、阿特拉津、去草胺、拉索、杀草丹、2甲4氯、绿麦隆、敌草隆、氟乐录、苯达松、茅草枯、草甘膦等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高毒农药只要接触极少量就会引起中毒或死亡。中、低毒农药虽较高毒农药的毒性为低，但接触多，抢救不及时也会造成死亡。因此，使用农药必须注意经济和安全。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二、农药使用范围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凡已订出“农药安全使用标准”的品种，均按照“标准”的要求执行。尚未制定“标准”的品种，执行下列规定：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1、高毒农药　不准用于蔬菜、茶叶、果树、中药材等作物，不准用于防治卫生害虫与人、畜皮肤病。除杀鼠剂外，也不准用于毒鼠。氟乙酰胺禁止在农作物上使用，不准做杀鼠剂。“3911”乳油只准用于拌种，严禁喷雾使用。呋喃丹颗粒剂只准用于拌种、用工具沟施或戴手套撒毒土，不准浸水后喷雾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2、高残留农药　六六六、滴滴涕、氯丹，不准在果树、蔬菜、茶树、中药材、烟草、咖啡、胡椒、香茅等作物上使用。氯丹只准用于拌种，防治地下害虫。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3、杀虫脒　可用于防治棉花红蜘蛛、水稻螟虫等。根据杀虫脒毒性的研究结果，应控制使用。在水稻整个生长期内，只准使用一次。每亩用25％水剂2两，距收割期不得少于40天，每亩用25％水剂四两，距收割期不得少于70天。禁止在其他粮食、油料、蔬菜、果树、药材、茶叶、烟草、甘蔗、甜菜等作物上使用。在防治棉花害虫时，亦应尽量控制使用次数和用量。喷雾时，要避免人身直接接触药液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4、禁止用农药毒鱼、虾、青蛙和有益的鸟兽。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三、农药的购买、运输和保管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1、农药由使用单位指定专人凭证购买。买农药时必须注意农药的包装，防止破漏。注意农药的品名、有效成份含量、出厂日期、使用说明等，鉴别不清和质量失效的农药不准使用。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2、运输农药时，应先检查包装是否完整，发现有渗漏、破裂的，应用规定的材料重新包装后运输，并及时妥善处理被污染的地面、运输工具和包装材料。搬运农药时要轻拿轻放。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3、农药不得与粮食、蔬菜、瓜果、食品、日用品等混载、混放。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4、农药应集中在生产队、作业组或专业队设专用库、专用柜和专人保管，不能分户保存。门窗要牢固，通风条件要好，门、柜要加锁。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5、农药进出仓库应建立登记手续，不准随意存取。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四、农药使用中的注意事项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1、配药时，配药人员要戴胶皮手套，必须用量具按照规定的剂量称取药液或药粉，不得任意增加用量。严禁用手拌药。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2、拌种要用工具搅拌，用多少，拌多少，拌过药的种子应尽量用机具播种。如手撒或点种时必须戴防护手套，以防皮肤吸收中毒。剩余的毒种应销毁，不准用作口粮或饲料。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3、配药和拌种应选择远离饮用水源、居民点的安全地方，要有专人看管，严防农药、毒种丢失或被人、畜、家禽误食。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4、使用手动喷雾器喷药时应隔行喷。手动和机动药械均不能左右两边同时喷。大风和中午高温时应停止喷药。药桶内药液不能装得过满，以免晃出桶外，污染施药人员的身体。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5、喷药前应仔细检查药械的开关、接头、喷头等处螺丝是否拧紧，药桶有无渗漏，以免漏药污染。喷药过程中如发生堵塞时，应先用清水冲洗后再排除故障。绝对禁止用嘴吹吸喷头和滤网。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6、施用过高毒农药的地方要竖立标志，在一定时间内禁止放牧，割草，挖野菜，以防人、畜中毒。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7、用药工作结束后，要及时将喷雾器清洗干净，连同剩余药剂一起交回仓库保管，不得带回家去。清洗药械的污水应选择安全地点妥善处理，不准随地泼洒，防止污染饮用水源和养鱼池塘。盛过农药的包装物品，不准用于盛粮食、油、酒、水等食品和饲料。装过农药的空箱、瓶、袋等要集中处理。浸种用过的水缸要洗净集中保管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五、施药人员的选择和个人防护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1、施药人员由生产队选拔工作认真负责、身体健康的青壮年担任，并应经过一定的技术培训。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2、凡体弱多病者，患皮肤病和农药中毒及其他疾病尚未恢复健康者，哺乳期、孕期、经期的妇女，皮肤损伤未愈者不得喷药或暂停喷药。喷药时不准带小孩到作业地点。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3、施药人员在打药期间不得饮酒。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4、施药人员打药时必须戴防毒口罩，穿长袖上衣、长裤和鞋、袜。在操作时禁止吸烟、喝水、吃东西，不能用手擦嘴、脸、眼睛，绝对不准互相喷射嬉闹。每日工作后喝水、抽烟、吃东西之前要用肥皂彻底清洗手、脸和漱口。有条件的应洗澡。被农药污染的工作服要及时换洗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5、施药人员每天喷药时间一般不得超过6小时。使用背负式机动药械，要两人轮换操作。连续施药3～5天后应停休1天。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rPr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　　6、操作人员如有头痛、头昏、恶心、呕吐等症状时，应立即离开施药现场，脱去污染的衣服，漱口，擦洗手、脸和皮肤等暴露部位，及时送医院治疗。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5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styleId="8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2020-05-12T07:01:25Z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