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_GBK" w:hAnsi="方正小标宋_GBK" w:eastAsia="方正小标宋_GBK"/>
          <w:b w:val="0"/>
          <w:bCs w:val="0"/>
          <w:sz w:val="30"/>
        </w:rPr>
      </w:pPr>
      <w:bookmarkStart w:id="0" w:name="_Toc24724725"/>
      <w:r>
        <w:rPr>
          <w:rFonts w:hint="eastAsia" w:ascii="方正小标宋_GBK" w:hAnsi="方正小标宋_GBK" w:eastAsia="方正小标宋_GBK"/>
          <w:b w:val="0"/>
          <w:bCs w:val="0"/>
          <w:sz w:val="30"/>
        </w:rPr>
        <w:t>（二十二）安全生产领域基层政务公开标准目录</w:t>
      </w:r>
      <w:bookmarkEnd w:id="0"/>
    </w:p>
    <w:tbl>
      <w:tblPr>
        <w:tblStyle w:val="6"/>
        <w:tblW w:w="15660" w:type="dxa"/>
        <w:tblInd w:w="-8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900"/>
        <w:gridCol w:w="1080"/>
        <w:gridCol w:w="2520"/>
        <w:gridCol w:w="2520"/>
        <w:gridCol w:w="1800"/>
        <w:gridCol w:w="900"/>
        <w:gridCol w:w="1496"/>
        <w:gridCol w:w="664"/>
        <w:gridCol w:w="720"/>
        <w:gridCol w:w="720"/>
        <w:gridCol w:w="720"/>
        <w:gridCol w:w="540"/>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540" w:type="dxa"/>
            <w:vMerge w:val="restart"/>
            <w:shd w:val="clear" w:color="auto" w:fill="auto"/>
            <w:vAlign w:val="center"/>
          </w:tcPr>
          <w:p>
            <w:pPr>
              <w:widowControl/>
              <w:jc w:val="center"/>
              <w:rPr>
                <w:rFonts w:hint="eastAsia" w:ascii="仿宋_GB2312" w:hAnsi="Times New Roman" w:eastAsia="仿宋_GB2312"/>
                <w:color w:val="000000"/>
                <w:kern w:val="0"/>
                <w:sz w:val="18"/>
                <w:szCs w:val="18"/>
              </w:rPr>
            </w:pPr>
            <w:r>
              <w:rPr>
                <w:rFonts w:hint="eastAsia" w:ascii="黑体" w:hAnsi="宋体" w:eastAsia="黑体" w:cs="宋体"/>
                <w:color w:val="000000"/>
                <w:kern w:val="0"/>
                <w:sz w:val="22"/>
              </w:rPr>
              <w:t>序号</w:t>
            </w:r>
          </w:p>
        </w:tc>
        <w:tc>
          <w:tcPr>
            <w:tcW w:w="1980" w:type="dxa"/>
            <w:gridSpan w:val="2"/>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公开事项</w:t>
            </w:r>
          </w:p>
        </w:tc>
        <w:tc>
          <w:tcPr>
            <w:tcW w:w="2520" w:type="dxa"/>
            <w:vMerge w:val="restart"/>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2520" w:type="dxa"/>
            <w:vMerge w:val="restart"/>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公开依据</w:t>
            </w:r>
          </w:p>
        </w:tc>
        <w:tc>
          <w:tcPr>
            <w:tcW w:w="1800" w:type="dxa"/>
            <w:vMerge w:val="restart"/>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公开时限</w:t>
            </w:r>
          </w:p>
        </w:tc>
        <w:tc>
          <w:tcPr>
            <w:tcW w:w="900" w:type="dxa"/>
            <w:vMerge w:val="restart"/>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公开主体</w:t>
            </w:r>
          </w:p>
        </w:tc>
        <w:tc>
          <w:tcPr>
            <w:tcW w:w="1496" w:type="dxa"/>
            <w:vMerge w:val="restart"/>
            <w:shd w:val="clear" w:color="auto" w:fill="auto"/>
            <w:vAlign w:val="center"/>
          </w:tcPr>
          <w:p>
            <w:pPr>
              <w:widowControl/>
              <w:jc w:val="center"/>
              <w:rPr>
                <w:rFonts w:hint="eastAsia" w:ascii="黑体" w:hAnsi="宋体" w:eastAsia="黑体" w:cs="宋体"/>
                <w:kern w:val="0"/>
                <w:sz w:val="22"/>
              </w:rPr>
            </w:pPr>
            <w:r>
              <w:rPr>
                <w:rFonts w:hint="eastAsia" w:ascii="黑体" w:hAnsi="宋体" w:eastAsia="黑体" w:cs="宋体"/>
                <w:kern w:val="0"/>
                <w:sz w:val="22"/>
              </w:rPr>
              <w:t>公开渠道和载体</w:t>
            </w:r>
          </w:p>
        </w:tc>
        <w:tc>
          <w:tcPr>
            <w:tcW w:w="1384" w:type="dxa"/>
            <w:gridSpan w:val="2"/>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公开对象</w:t>
            </w:r>
          </w:p>
        </w:tc>
        <w:tc>
          <w:tcPr>
            <w:tcW w:w="1440" w:type="dxa"/>
            <w:gridSpan w:val="2"/>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公开方式</w:t>
            </w:r>
          </w:p>
        </w:tc>
        <w:tc>
          <w:tcPr>
            <w:tcW w:w="1080" w:type="dxa"/>
            <w:gridSpan w:val="2"/>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trPr>
        <w:tc>
          <w:tcPr>
            <w:tcW w:w="540" w:type="dxa"/>
            <w:vMerge w:val="continue"/>
            <w:shd w:val="clear" w:color="auto" w:fill="auto"/>
            <w:vAlign w:val="center"/>
          </w:tcPr>
          <w:p>
            <w:pPr>
              <w:widowControl/>
              <w:jc w:val="center"/>
              <w:rPr>
                <w:rFonts w:hint="eastAsia" w:ascii="仿宋_GB2312" w:hAnsi="Times New Roman" w:eastAsia="仿宋_GB2312"/>
                <w:color w:val="000000"/>
                <w:kern w:val="0"/>
                <w:sz w:val="18"/>
                <w:szCs w:val="18"/>
              </w:rPr>
            </w:pPr>
          </w:p>
        </w:tc>
        <w:tc>
          <w:tcPr>
            <w:tcW w:w="90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一级事项</w:t>
            </w:r>
          </w:p>
        </w:tc>
        <w:tc>
          <w:tcPr>
            <w:tcW w:w="108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二级事项</w:t>
            </w:r>
          </w:p>
        </w:tc>
        <w:tc>
          <w:tcPr>
            <w:tcW w:w="2520" w:type="dxa"/>
            <w:vMerge w:val="continue"/>
            <w:shd w:val="clear" w:color="auto" w:fill="auto"/>
            <w:vAlign w:val="center"/>
          </w:tcPr>
          <w:p>
            <w:pPr>
              <w:widowControl/>
              <w:jc w:val="left"/>
              <w:rPr>
                <w:rFonts w:hint="eastAsia" w:ascii="黑体" w:hAnsi="宋体" w:eastAsia="黑体" w:cs="宋体"/>
                <w:color w:val="000000"/>
                <w:kern w:val="0"/>
                <w:sz w:val="22"/>
              </w:rPr>
            </w:pPr>
          </w:p>
        </w:tc>
        <w:tc>
          <w:tcPr>
            <w:tcW w:w="2520" w:type="dxa"/>
            <w:vMerge w:val="continue"/>
            <w:shd w:val="clear" w:color="auto" w:fill="auto"/>
            <w:vAlign w:val="center"/>
          </w:tcPr>
          <w:p>
            <w:pPr>
              <w:widowControl/>
              <w:jc w:val="left"/>
              <w:rPr>
                <w:rFonts w:hint="eastAsia" w:ascii="黑体" w:hAnsi="宋体" w:eastAsia="黑体" w:cs="宋体"/>
                <w:color w:val="000000"/>
                <w:kern w:val="0"/>
                <w:sz w:val="22"/>
              </w:rPr>
            </w:pPr>
          </w:p>
        </w:tc>
        <w:tc>
          <w:tcPr>
            <w:tcW w:w="1800" w:type="dxa"/>
            <w:vMerge w:val="continue"/>
            <w:shd w:val="clear" w:color="auto" w:fill="auto"/>
            <w:vAlign w:val="center"/>
          </w:tcPr>
          <w:p>
            <w:pPr>
              <w:widowControl/>
              <w:jc w:val="left"/>
              <w:rPr>
                <w:rFonts w:hint="eastAsia" w:ascii="黑体" w:hAnsi="宋体" w:eastAsia="黑体" w:cs="宋体"/>
                <w:color w:val="000000"/>
                <w:kern w:val="0"/>
                <w:sz w:val="22"/>
              </w:rPr>
            </w:pPr>
          </w:p>
        </w:tc>
        <w:tc>
          <w:tcPr>
            <w:tcW w:w="900" w:type="dxa"/>
            <w:vMerge w:val="continue"/>
            <w:shd w:val="clear" w:color="auto" w:fill="auto"/>
            <w:vAlign w:val="center"/>
          </w:tcPr>
          <w:p>
            <w:pPr>
              <w:widowControl/>
              <w:jc w:val="center"/>
              <w:rPr>
                <w:rFonts w:hint="eastAsia" w:ascii="黑体" w:hAnsi="宋体" w:eastAsia="黑体" w:cs="宋体"/>
                <w:color w:val="000000"/>
                <w:kern w:val="0"/>
                <w:sz w:val="22"/>
              </w:rPr>
            </w:pPr>
          </w:p>
        </w:tc>
        <w:tc>
          <w:tcPr>
            <w:tcW w:w="1496" w:type="dxa"/>
            <w:vMerge w:val="continue"/>
            <w:shd w:val="clear" w:color="auto" w:fill="auto"/>
            <w:vAlign w:val="center"/>
          </w:tcPr>
          <w:p>
            <w:pPr>
              <w:widowControl/>
              <w:jc w:val="left"/>
              <w:rPr>
                <w:rFonts w:hint="eastAsia" w:ascii="黑体" w:hAnsi="宋体" w:eastAsia="黑体" w:cs="宋体"/>
                <w:kern w:val="0"/>
                <w:sz w:val="22"/>
              </w:rPr>
            </w:pPr>
          </w:p>
        </w:tc>
        <w:tc>
          <w:tcPr>
            <w:tcW w:w="664"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特定群众</w:t>
            </w:r>
          </w:p>
        </w:tc>
        <w:tc>
          <w:tcPr>
            <w:tcW w:w="72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县级</w:t>
            </w:r>
          </w:p>
        </w:tc>
        <w:tc>
          <w:tcPr>
            <w:tcW w:w="540" w:type="dxa"/>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乡、村级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p>
        </w:tc>
        <w:tc>
          <w:tcPr>
            <w:tcW w:w="900"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法律法规</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与安全生产有关的法律、法规</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900" w:type="dxa"/>
            <w:shd w:val="clear" w:color="auto" w:fill="auto"/>
            <w:vAlign w:val="center"/>
          </w:tcPr>
          <w:p>
            <w:pPr>
              <w:jc w:val="cente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vMerge w:val="restart"/>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■两微一端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部门和地方规章</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与安全生产有关的部门和地方规章</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900" w:type="dxa"/>
            <w:shd w:val="clear" w:color="auto" w:fill="auto"/>
            <w:vAlign w:val="center"/>
          </w:tcPr>
          <w:p>
            <w:pPr>
              <w:jc w:val="cente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vMerge w:val="continue"/>
            <w:shd w:val="clear" w:color="auto" w:fill="auto"/>
            <w:vAlign w:val="center"/>
          </w:tcPr>
          <w:p>
            <w:pPr>
              <w:spacing w:line="240" w:lineRule="exact"/>
              <w:jc w:val="left"/>
              <w:rPr>
                <w:rFonts w:hint="eastAsia" w:ascii="仿宋_GB2312" w:eastAsia="仿宋_GB2312"/>
                <w:sz w:val="18"/>
                <w:szCs w:val="18"/>
              </w:rPr>
            </w:pP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3</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其他政策文件</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其他可以公开的与安全生产有关的政策文件，包括改革方案、发展规划、专项规划、工作计划等</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信息形</w:t>
            </w:r>
            <w:bookmarkStart w:id="1" w:name="_GoBack"/>
            <w:bookmarkEnd w:id="1"/>
            <w:r>
              <w:rPr>
                <w:rFonts w:hint="eastAsia" w:ascii="仿宋_GB2312" w:eastAsia="仿宋_GB2312"/>
                <w:bCs/>
                <w:color w:val="000000"/>
                <w:sz w:val="18"/>
                <w:szCs w:val="18"/>
              </w:rPr>
              <w:t>成或变更之日起20个工作日内</w:t>
            </w:r>
          </w:p>
        </w:tc>
        <w:tc>
          <w:tcPr>
            <w:tcW w:w="900" w:type="dxa"/>
            <w:shd w:val="clear" w:color="auto" w:fill="auto"/>
            <w:vAlign w:val="center"/>
          </w:tcPr>
          <w:p>
            <w:pPr>
              <w:jc w:val="cente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vMerge w:val="continue"/>
            <w:shd w:val="clear" w:color="auto" w:fill="auto"/>
            <w:vAlign w:val="center"/>
          </w:tcPr>
          <w:p>
            <w:pPr>
              <w:spacing w:line="240" w:lineRule="exact"/>
              <w:jc w:val="left"/>
              <w:rPr>
                <w:rFonts w:hint="eastAsia" w:ascii="仿宋_GB2312" w:eastAsia="仿宋_GB2312"/>
                <w:sz w:val="18"/>
                <w:szCs w:val="18"/>
              </w:rPr>
            </w:pP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5"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4</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标准</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安全生产领域有关的国家标准、行业标准、地方标准等</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900" w:type="dxa"/>
            <w:shd w:val="clear" w:color="auto" w:fill="auto"/>
            <w:vAlign w:val="center"/>
          </w:tcPr>
          <w:p>
            <w:pPr>
              <w:jc w:val="cente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vMerge w:val="continue"/>
            <w:shd w:val="clear" w:color="auto" w:fill="auto"/>
            <w:vAlign w:val="center"/>
          </w:tcPr>
          <w:p>
            <w:pPr>
              <w:spacing w:line="240" w:lineRule="exact"/>
              <w:jc w:val="left"/>
              <w:rPr>
                <w:rFonts w:hint="eastAsia" w:ascii="仿宋_GB2312" w:eastAsia="仿宋_GB2312"/>
                <w:sz w:val="18"/>
                <w:szCs w:val="18"/>
              </w:rPr>
            </w:pP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5</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重大决策草案</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涉及管理相对人切身利益、需社会广泛知晓的重要改革方案等重大决策，决策前向社会公开决策草案、决策依据</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《政府信息公开条例》、《关于全面推进政务公开工作的意见》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900" w:type="dxa"/>
            <w:shd w:val="clear" w:color="auto" w:fill="auto"/>
            <w:vAlign w:val="center"/>
          </w:tcPr>
          <w:p>
            <w:pPr>
              <w:jc w:val="cente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 xml:space="preserve">■政府网站   ■两微一端   ■公开查阅点 </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3"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6</w:t>
            </w:r>
          </w:p>
        </w:tc>
        <w:tc>
          <w:tcPr>
            <w:tcW w:w="900"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重大政策解读及回应</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有关重大政策的解读与回应，安全生产相关热点问题的解读与回应</w:t>
            </w:r>
          </w:p>
        </w:tc>
        <w:tc>
          <w:tcPr>
            <w:tcW w:w="2520" w:type="dxa"/>
            <w:shd w:val="clear" w:color="auto" w:fill="auto"/>
            <w:vAlign w:val="top"/>
          </w:tcPr>
          <w:p>
            <w:r>
              <w:rPr>
                <w:rFonts w:hint="eastAsia" w:ascii="仿宋_GB2312" w:eastAsia="仿宋_GB2312"/>
                <w:bCs/>
                <w:color w:val="000000"/>
                <w:sz w:val="18"/>
                <w:szCs w:val="18"/>
              </w:rPr>
              <w:t>《政府信息公开条例》、《关于全面推进政务公开工作的意见》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重大决策作出后及时公开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 xml:space="preserve">■政府网站   ■两微一端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p>
          <w:p>
            <w:pPr>
              <w:spacing w:line="240" w:lineRule="exact"/>
              <w:jc w:val="left"/>
              <w:rPr>
                <w:rFonts w:hint="eastAsia"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■公开查阅点 ■政务服务中</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0"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7</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重要会议</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通过会议讨论作出重要改革方案等重大决策时，经党组研究认为有必要公开讨论决策过程的会议</w:t>
            </w:r>
          </w:p>
        </w:tc>
        <w:tc>
          <w:tcPr>
            <w:tcW w:w="2520" w:type="dxa"/>
            <w:shd w:val="clear" w:color="auto" w:fill="auto"/>
            <w:vAlign w:val="top"/>
          </w:tcPr>
          <w:p>
            <w:r>
              <w:rPr>
                <w:rFonts w:hint="eastAsia" w:ascii="仿宋_GB2312" w:eastAsia="仿宋_GB2312"/>
                <w:bCs/>
                <w:color w:val="000000"/>
                <w:sz w:val="18"/>
                <w:szCs w:val="18"/>
              </w:rPr>
              <w:t>《政府信息公开条例》、《关于全面推进政务公开工作的意见》</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提前一周发通知邀请</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■便民服务站</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8"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8</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征集采纳社会公众意见情况</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重大决策草案公布后征集到的社会公众意见情况、采纳与否情况及理由等</w:t>
            </w:r>
          </w:p>
        </w:tc>
        <w:tc>
          <w:tcPr>
            <w:tcW w:w="2520" w:type="dxa"/>
            <w:shd w:val="clear" w:color="auto" w:fill="auto"/>
            <w:vAlign w:val="top"/>
          </w:tcPr>
          <w:p>
            <w:r>
              <w:rPr>
                <w:rFonts w:hint="eastAsia" w:ascii="仿宋_GB2312" w:eastAsia="仿宋_GB2312"/>
                <w:bCs/>
                <w:color w:val="000000"/>
                <w:sz w:val="18"/>
                <w:szCs w:val="18"/>
              </w:rPr>
              <w:t>《政府信息公开条例》、《关于全面推进政务公开工作的意见》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征求意见时对外公布的时限内公开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■公开查阅点 </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3"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9</w:t>
            </w:r>
          </w:p>
        </w:tc>
        <w:tc>
          <w:tcPr>
            <w:tcW w:w="90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依法</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行政许可</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办理行政许可和其他对外管理服务事项的依据、条件、程序</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《政府信息公开条例》、《关于推进安全生产领域改革发展的意见》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■两微一端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10</w:t>
            </w:r>
          </w:p>
        </w:tc>
        <w:tc>
          <w:tcPr>
            <w:tcW w:w="90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依法</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行政处罚</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办理行政处罚的依据、条件、程序以及本级行政机关认为具有一定社会影响的行政处罚决定</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《政府信息公开条例》、《关于推进安全生产领域改革发展的意见》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■两微一端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3" w:hRule="atLeast"/>
        </w:trPr>
        <w:tc>
          <w:tcPr>
            <w:tcW w:w="540" w:type="dxa"/>
            <w:shd w:val="clear" w:color="auto" w:fill="auto"/>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val="en-US" w:eastAsia="zh-CN"/>
              </w:rPr>
              <w:t>11</w:t>
            </w:r>
          </w:p>
        </w:tc>
        <w:tc>
          <w:tcPr>
            <w:tcW w:w="90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隐患管理</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重大隐患排查、挂牌督办及其整改情况，安全生产举报电话等</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《安全生产法》、《政府信息公开条例》、《中共中央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■两微一端   ■广播电视   ■公开查阅点</w:t>
            </w:r>
          </w:p>
          <w:p>
            <w:pPr>
              <w:spacing w:line="240" w:lineRule="exact"/>
              <w:jc w:val="left"/>
              <w:rPr>
                <w:rFonts w:hint="eastAsia" w:ascii="仿宋_GB2312" w:eastAsia="仿宋_GB2312"/>
                <w:sz w:val="18"/>
                <w:szCs w:val="18"/>
              </w:rPr>
            </w:pPr>
            <w:r>
              <w:rPr>
                <w:rFonts w:hint="eastAsia" w:ascii="仿宋_GB2312" w:eastAsia="仿宋_GB2312"/>
                <w:sz w:val="18"/>
                <w:szCs w:val="18"/>
              </w:rPr>
              <w:t>■公示栏</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2"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2</w:t>
            </w:r>
          </w:p>
        </w:tc>
        <w:tc>
          <w:tcPr>
            <w:tcW w:w="900"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应急管理</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xml:space="preserve">承担处置主责、非敏感的应急信息，包括事故灾害类预警信息、事故信息、事故后采取的应急处置措施和应对结果等  </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《政府信息公开条例》、《突发事件应对法》、《关于全面加强政务公开工作的意见》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■两微一端   ■公开查阅点 ■政务服务中心</w:t>
            </w:r>
            <w:r>
              <w:rPr>
                <w:rFonts w:hint="eastAsia" w:ascii="仿宋_GB2312" w:eastAsia="仿宋_GB2312"/>
                <w:sz w:val="18"/>
                <w:szCs w:val="18"/>
              </w:rPr>
              <w:br w:type="textWrapping"/>
            </w:r>
            <w:r>
              <w:rPr>
                <w:rFonts w:hint="eastAsia" w:ascii="仿宋_GB2312" w:eastAsia="仿宋_GB2312"/>
                <w:sz w:val="18"/>
                <w:szCs w:val="18"/>
              </w:rPr>
              <w:t>■便民服务站</w:t>
            </w:r>
          </w:p>
          <w:p>
            <w:pPr>
              <w:spacing w:line="240" w:lineRule="exact"/>
              <w:jc w:val="left"/>
              <w:rPr>
                <w:rFonts w:hint="eastAsia" w:ascii="仿宋_GB2312" w:eastAsia="仿宋_GB2312"/>
                <w:sz w:val="18"/>
                <w:szCs w:val="18"/>
              </w:rPr>
            </w:pPr>
            <w:r>
              <w:rPr>
                <w:rFonts w:hint="eastAsia" w:ascii="仿宋_GB2312" w:eastAsia="仿宋_GB2312"/>
                <w:sz w:val="18"/>
                <w:szCs w:val="18"/>
              </w:rPr>
              <w:t>■公示栏</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2"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3</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黑名单管理</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列入或撤销纳入安全生产黑名单管理的企业信息，具体企业名称、证照编号、经营地址、负责人姓名等</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《政府信息公开条例》、《社会信用体系建设规划纲要（2014-2020年）》</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信息形成或变更之日起20个工作日内</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■两微一端   ■公开查阅点 ■政务服务中心</w:t>
            </w:r>
            <w:r>
              <w:rPr>
                <w:rFonts w:hint="eastAsia" w:ascii="仿宋_GB2312" w:eastAsia="仿宋_GB2312"/>
                <w:sz w:val="18"/>
                <w:szCs w:val="18"/>
              </w:rPr>
              <w:br w:type="textWrapping"/>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4</w:t>
            </w:r>
          </w:p>
        </w:tc>
        <w:tc>
          <w:tcPr>
            <w:tcW w:w="900"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行政</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事故通报</w:t>
            </w:r>
          </w:p>
        </w:tc>
        <w:tc>
          <w:tcPr>
            <w:tcW w:w="2520" w:type="dxa"/>
            <w:shd w:val="clear" w:color="auto" w:fill="auto"/>
            <w:vAlign w:val="center"/>
          </w:tcPr>
          <w:p>
            <w:pPr>
              <w:jc w:val="left"/>
              <w:rPr>
                <w:rFonts w:hint="eastAsia" w:ascii="仿宋_GB2312" w:hAnsi="宋体" w:eastAsia="仿宋_GB2312" w:cs="宋体"/>
                <w:bCs/>
                <w:sz w:val="18"/>
                <w:szCs w:val="18"/>
              </w:rPr>
            </w:pPr>
            <w:r>
              <w:rPr>
                <w:rFonts w:hint="eastAsia" w:ascii="仿宋_GB2312" w:eastAsia="仿宋_GB2312"/>
                <w:bCs/>
                <w:sz w:val="18"/>
                <w:szCs w:val="18"/>
              </w:rPr>
              <w:t>1、事故信息:本部门接报查实的各类生产安全事故情况（事故发生时间、地点、伤亡情况、简要经过）                         2、典型事故通报:各类典型安全生产事故情况通报，主要包括发生时间、地点、起因、经过、结果、相关领导批示情况、预防性措施建议等内容                       3、事故调查报告：依照事故调查处理权限，经批复的生产安全事故调查报告，依法应当保密的除外</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《安全生产法》、《政府信息公开条例》、《中共中央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按照中央有关要求公开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■两微一端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5"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5</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动态信息</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业务工作动态、安全生产执法检查动态</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按进展情况及时公开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■两微一端   ■发布会</w:t>
            </w:r>
            <w:r>
              <w:rPr>
                <w:rFonts w:hint="eastAsia" w:ascii="仿宋_GB2312" w:eastAsia="仿宋_GB2312"/>
                <w:sz w:val="18"/>
                <w:szCs w:val="18"/>
              </w:rPr>
              <w:br w:type="textWrapping"/>
            </w:r>
            <w:r>
              <w:rPr>
                <w:rFonts w:hint="eastAsia" w:ascii="仿宋_GB2312" w:eastAsia="仿宋_GB2312"/>
                <w:sz w:val="18"/>
                <w:szCs w:val="18"/>
              </w:rPr>
              <w:t>■广播电视   ■纸质媒体</w:t>
            </w:r>
            <w:r>
              <w:rPr>
                <w:rFonts w:hint="eastAsia" w:ascii="仿宋_GB2312" w:eastAsia="仿宋_GB2312"/>
                <w:sz w:val="18"/>
                <w:szCs w:val="18"/>
              </w:rPr>
              <w:br w:type="textWrapping"/>
            </w:r>
            <w:r>
              <w:rPr>
                <w:rFonts w:hint="eastAsia" w:ascii="仿宋_GB2312" w:eastAsia="仿宋_GB2312"/>
                <w:sz w:val="18"/>
                <w:szCs w:val="18"/>
              </w:rPr>
              <w:t>■其他</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8" w:hRule="atLeast"/>
        </w:trPr>
        <w:tc>
          <w:tcPr>
            <w:tcW w:w="540" w:type="dxa"/>
            <w:shd w:val="clear" w:color="auto" w:fill="auto"/>
            <w:vAlign w:val="center"/>
          </w:tcPr>
          <w:p>
            <w:pPr>
              <w:jc w:val="center"/>
              <w:rPr>
                <w:rFonts w:hint="eastAsia" w:ascii="仿宋_GB2312" w:hAnsi="宋体" w:eastAsia="仿宋_GB2312" w:cs="宋体"/>
                <w:color w:val="000000"/>
                <w:sz w:val="18"/>
                <w:szCs w:val="18"/>
                <w:highlight w:val="none"/>
              </w:rPr>
            </w:pPr>
            <w:r>
              <w:rPr>
                <w:rFonts w:hint="eastAsia" w:ascii="仿宋_GB2312" w:hAnsi="宋体" w:eastAsia="仿宋_GB2312" w:cs="宋体"/>
                <w:color w:val="000000"/>
                <w:sz w:val="18"/>
                <w:szCs w:val="18"/>
                <w:highlight w:val="none"/>
              </w:rPr>
              <w:t>1</w:t>
            </w:r>
            <w:r>
              <w:rPr>
                <w:rFonts w:hint="eastAsia" w:ascii="仿宋_GB2312" w:hAnsi="宋体" w:eastAsia="仿宋_GB2312" w:cs="宋体"/>
                <w:color w:val="000000"/>
                <w:sz w:val="18"/>
                <w:szCs w:val="18"/>
                <w:highlight w:val="none"/>
                <w:lang w:val="en-US" w:eastAsia="zh-CN"/>
              </w:rPr>
              <w:t>6</w:t>
            </w:r>
          </w:p>
        </w:tc>
        <w:tc>
          <w:tcPr>
            <w:tcW w:w="900" w:type="dxa"/>
            <w:shd w:val="clear" w:color="auto" w:fill="auto"/>
            <w:vAlign w:val="center"/>
          </w:tcPr>
          <w:p>
            <w:pPr>
              <w:jc w:val="center"/>
              <w:rPr>
                <w:rFonts w:hint="eastAsia" w:ascii="仿宋_GB2312" w:hAnsi="宋体" w:eastAsia="仿宋_GB2312" w:cs="宋体"/>
                <w:color w:val="000000"/>
                <w:sz w:val="18"/>
                <w:szCs w:val="18"/>
                <w:highlight w:val="none"/>
              </w:rPr>
            </w:pPr>
            <w:r>
              <w:rPr>
                <w:rFonts w:hint="eastAsia" w:ascii="仿宋_GB2312" w:hAnsi="宋体" w:eastAsia="仿宋_GB2312" w:cs="宋体"/>
                <w:color w:val="000000"/>
                <w:sz w:val="18"/>
                <w:szCs w:val="18"/>
                <w:highlight w:val="none"/>
              </w:rPr>
              <w:t>行政</w:t>
            </w:r>
          </w:p>
          <w:p>
            <w:pPr>
              <w:jc w:val="center"/>
              <w:rPr>
                <w:rFonts w:hint="eastAsia" w:ascii="仿宋_GB2312" w:hAnsi="宋体" w:eastAsia="仿宋_GB2312" w:cs="宋体"/>
                <w:color w:val="000000"/>
                <w:sz w:val="18"/>
                <w:szCs w:val="18"/>
                <w:highlight w:val="none"/>
              </w:rPr>
            </w:pPr>
            <w:r>
              <w:rPr>
                <w:rFonts w:hint="eastAsia" w:ascii="仿宋_GB2312" w:hAnsi="宋体" w:eastAsia="仿宋_GB2312" w:cs="宋体"/>
                <w:color w:val="000000"/>
                <w:sz w:val="18"/>
                <w:szCs w:val="18"/>
                <w:highlight w:val="none"/>
              </w:rPr>
              <w:t>管理</w:t>
            </w:r>
          </w:p>
        </w:tc>
        <w:tc>
          <w:tcPr>
            <w:tcW w:w="1080" w:type="dxa"/>
            <w:shd w:val="clear" w:color="auto" w:fill="auto"/>
            <w:vAlign w:val="center"/>
          </w:tcPr>
          <w:p>
            <w:pPr>
              <w:rPr>
                <w:rFonts w:hint="eastAsia" w:ascii="仿宋_GB2312" w:hAnsi="宋体" w:eastAsia="仿宋_GB2312" w:cs="宋体"/>
                <w:bCs/>
                <w:color w:val="000000"/>
                <w:sz w:val="18"/>
                <w:szCs w:val="18"/>
                <w:highlight w:val="none"/>
              </w:rPr>
            </w:pPr>
            <w:r>
              <w:rPr>
                <w:rFonts w:hint="eastAsia" w:ascii="仿宋_GB2312" w:eastAsia="仿宋_GB2312"/>
                <w:bCs/>
                <w:color w:val="000000"/>
                <w:sz w:val="18"/>
                <w:szCs w:val="18"/>
                <w:highlight w:val="none"/>
              </w:rPr>
              <w:t>安全生产预警提示信息</w:t>
            </w:r>
          </w:p>
        </w:tc>
        <w:tc>
          <w:tcPr>
            <w:tcW w:w="2520" w:type="dxa"/>
            <w:shd w:val="clear" w:color="auto" w:fill="auto"/>
            <w:vAlign w:val="center"/>
          </w:tcPr>
          <w:p>
            <w:pPr>
              <w:rPr>
                <w:rFonts w:hint="eastAsia" w:ascii="仿宋_GB2312" w:hAnsi="宋体" w:eastAsia="仿宋_GB2312" w:cs="宋体"/>
                <w:bCs/>
                <w:color w:val="000000"/>
                <w:sz w:val="18"/>
                <w:szCs w:val="18"/>
                <w:highlight w:val="none"/>
              </w:rPr>
            </w:pPr>
            <w:r>
              <w:rPr>
                <w:rFonts w:hint="eastAsia" w:ascii="仿宋_GB2312" w:eastAsia="仿宋_GB2312"/>
                <w:bCs/>
                <w:color w:val="000000"/>
                <w:sz w:val="18"/>
                <w:szCs w:val="18"/>
                <w:highlight w:val="none"/>
              </w:rPr>
              <w:t>气象及灾害预警信息            不同时段、不同领域安全生产提示信息</w:t>
            </w:r>
          </w:p>
        </w:tc>
        <w:tc>
          <w:tcPr>
            <w:tcW w:w="2520" w:type="dxa"/>
            <w:shd w:val="clear" w:color="auto" w:fill="auto"/>
            <w:vAlign w:val="center"/>
          </w:tcPr>
          <w:p>
            <w:pPr>
              <w:rPr>
                <w:rFonts w:hint="eastAsia" w:ascii="仿宋_GB2312" w:hAnsi="宋体" w:eastAsia="仿宋_GB2312" w:cs="宋体"/>
                <w:bCs/>
                <w:sz w:val="18"/>
                <w:szCs w:val="18"/>
                <w:highlight w:val="none"/>
              </w:rPr>
            </w:pPr>
            <w:r>
              <w:rPr>
                <w:rFonts w:hint="eastAsia" w:ascii="仿宋_GB2312" w:eastAsia="仿宋_GB2312"/>
                <w:bCs/>
                <w:sz w:val="18"/>
                <w:szCs w:val="18"/>
                <w:highlight w:val="none"/>
              </w:rPr>
              <w:t>《政府信息公开条例》、《中共中央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color w:val="000000"/>
                <w:sz w:val="18"/>
                <w:szCs w:val="18"/>
                <w:highlight w:val="none"/>
              </w:rPr>
            </w:pPr>
            <w:r>
              <w:rPr>
                <w:rFonts w:hint="eastAsia" w:ascii="仿宋_GB2312" w:eastAsia="仿宋_GB2312"/>
                <w:bCs/>
                <w:color w:val="000000"/>
                <w:sz w:val="18"/>
                <w:szCs w:val="18"/>
                <w:highlight w:val="none"/>
              </w:rPr>
              <w:t>信息形成后及时公开</w:t>
            </w:r>
          </w:p>
        </w:tc>
        <w:tc>
          <w:tcPr>
            <w:tcW w:w="900" w:type="dxa"/>
            <w:shd w:val="clear" w:color="auto" w:fill="auto"/>
            <w:vAlign w:val="center"/>
          </w:tcPr>
          <w:p>
            <w:pPr>
              <w:rPr>
                <w:rFonts w:hint="eastAsia" w:ascii="仿宋_GB2312" w:hAnsi="宋体" w:eastAsia="仿宋_GB2312" w:cs="宋体"/>
                <w:bCs/>
                <w:sz w:val="18"/>
                <w:szCs w:val="18"/>
                <w:highlight w:val="none"/>
              </w:rPr>
            </w:pPr>
            <w:r>
              <w:rPr>
                <w:rFonts w:hint="eastAsia" w:ascii="仿宋_GB2312" w:eastAsia="仿宋_GB2312"/>
                <w:bCs/>
                <w:sz w:val="18"/>
                <w:szCs w:val="18"/>
                <w:highlight w:val="none"/>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highlight w:val="none"/>
              </w:rPr>
            </w:pPr>
            <w:r>
              <w:rPr>
                <w:rFonts w:hint="eastAsia" w:ascii="仿宋_GB2312" w:eastAsia="仿宋_GB2312"/>
                <w:sz w:val="18"/>
                <w:szCs w:val="18"/>
                <w:highlight w:val="none"/>
              </w:rPr>
              <w:t>■政府网站   ■两微一端   ■发布会</w:t>
            </w:r>
            <w:r>
              <w:rPr>
                <w:rFonts w:hint="eastAsia" w:ascii="仿宋_GB2312" w:eastAsia="仿宋_GB2312"/>
                <w:sz w:val="18"/>
                <w:szCs w:val="18"/>
                <w:highlight w:val="none"/>
              </w:rPr>
              <w:br w:type="textWrapping"/>
            </w:r>
            <w:r>
              <w:rPr>
                <w:rFonts w:hint="eastAsia" w:ascii="仿宋_GB2312" w:eastAsia="仿宋_GB2312"/>
                <w:sz w:val="18"/>
                <w:szCs w:val="18"/>
                <w:highlight w:val="none"/>
              </w:rPr>
              <w:t>■广播电视   ■纸质媒体</w:t>
            </w:r>
          </w:p>
          <w:p>
            <w:pPr>
              <w:spacing w:line="240" w:lineRule="exact"/>
              <w:jc w:val="left"/>
              <w:rPr>
                <w:rFonts w:hint="eastAsia" w:ascii="仿宋_GB2312" w:eastAsia="仿宋_GB2312"/>
                <w:sz w:val="18"/>
                <w:szCs w:val="18"/>
                <w:highlight w:val="none"/>
              </w:rPr>
            </w:pPr>
            <w:r>
              <w:rPr>
                <w:rFonts w:hint="eastAsia" w:ascii="仿宋_GB2312" w:eastAsia="仿宋_GB2312"/>
                <w:sz w:val="18"/>
                <w:szCs w:val="18"/>
                <w:highlight w:val="none"/>
              </w:rPr>
              <w:t>■便民服务站 ■入户/现场</w:t>
            </w:r>
            <w:r>
              <w:rPr>
                <w:rFonts w:hint="eastAsia" w:ascii="仿宋_GB2312" w:eastAsia="仿宋_GB2312"/>
                <w:sz w:val="18"/>
                <w:szCs w:val="18"/>
                <w:highlight w:val="none"/>
              </w:rPr>
              <w:br w:type="textWrapping"/>
            </w:r>
            <w:r>
              <w:rPr>
                <w:rFonts w:hint="eastAsia" w:ascii="仿宋_GB2312" w:eastAsia="仿宋_GB2312"/>
                <w:sz w:val="18"/>
                <w:szCs w:val="18"/>
                <w:highlight w:val="none"/>
              </w:rPr>
              <w:t>■社区/企事业单位、村公示栏（电子屏）</w:t>
            </w:r>
            <w:r>
              <w:rPr>
                <w:rFonts w:hint="eastAsia" w:ascii="仿宋_GB2312" w:eastAsia="仿宋_GB2312"/>
                <w:sz w:val="18"/>
                <w:szCs w:val="18"/>
                <w:highlight w:val="none"/>
              </w:rPr>
              <w:br w:type="textWrapping"/>
            </w:r>
            <w:r>
              <w:rPr>
                <w:rFonts w:hint="eastAsia" w:ascii="仿宋_GB2312" w:eastAsia="仿宋_GB2312"/>
                <w:sz w:val="18"/>
                <w:szCs w:val="18"/>
                <w:highlight w:val="none"/>
              </w:rPr>
              <w:t>■精准推送   ■其他</w:t>
            </w:r>
          </w:p>
        </w:tc>
        <w:tc>
          <w:tcPr>
            <w:tcW w:w="664" w:type="dxa"/>
            <w:shd w:val="clear" w:color="auto" w:fill="auto"/>
            <w:vAlign w:val="center"/>
          </w:tcPr>
          <w:p>
            <w:pPr>
              <w:rPr>
                <w:rFonts w:hint="eastAsia" w:ascii="仿宋_GB2312" w:hAnsi="宋体" w:eastAsia="仿宋_GB2312" w:cs="宋体"/>
                <w:bCs/>
                <w:sz w:val="18"/>
                <w:szCs w:val="18"/>
                <w:highlight w:val="none"/>
              </w:rPr>
            </w:pPr>
            <w:r>
              <w:rPr>
                <w:rFonts w:hint="eastAsia" w:ascii="仿宋_GB2312" w:eastAsia="仿宋_GB2312"/>
                <w:bCs/>
                <w:sz w:val="18"/>
                <w:szCs w:val="18"/>
                <w:highlight w:val="none"/>
              </w:rPr>
              <w:t>√</w:t>
            </w:r>
          </w:p>
        </w:tc>
        <w:tc>
          <w:tcPr>
            <w:tcW w:w="720" w:type="dxa"/>
            <w:shd w:val="clear" w:color="auto" w:fill="auto"/>
            <w:vAlign w:val="center"/>
          </w:tcPr>
          <w:p>
            <w:pPr>
              <w:rPr>
                <w:rFonts w:hint="eastAsia" w:ascii="仿宋_GB2312" w:hAnsi="宋体" w:eastAsia="仿宋_GB2312" w:cs="宋体"/>
                <w:bCs/>
                <w:sz w:val="18"/>
                <w:szCs w:val="18"/>
                <w:highlight w:val="none"/>
              </w:rPr>
            </w:pPr>
            <w:r>
              <w:rPr>
                <w:rFonts w:hint="eastAsia" w:ascii="仿宋_GB2312" w:eastAsia="仿宋_GB2312"/>
                <w:bCs/>
                <w:sz w:val="18"/>
                <w:szCs w:val="18"/>
                <w:highlight w:val="none"/>
              </w:rPr>
              <w:t>　</w:t>
            </w:r>
          </w:p>
        </w:tc>
        <w:tc>
          <w:tcPr>
            <w:tcW w:w="720" w:type="dxa"/>
            <w:shd w:val="clear" w:color="auto" w:fill="auto"/>
            <w:vAlign w:val="center"/>
          </w:tcPr>
          <w:p>
            <w:pPr>
              <w:rPr>
                <w:rFonts w:hint="eastAsia" w:ascii="仿宋_GB2312" w:hAnsi="宋体" w:eastAsia="仿宋_GB2312" w:cs="宋体"/>
                <w:bCs/>
                <w:sz w:val="18"/>
                <w:szCs w:val="18"/>
                <w:highlight w:val="none"/>
              </w:rPr>
            </w:pPr>
            <w:r>
              <w:rPr>
                <w:rFonts w:hint="eastAsia" w:ascii="仿宋_GB2312" w:eastAsia="仿宋_GB2312"/>
                <w:bCs/>
                <w:sz w:val="18"/>
                <w:szCs w:val="18"/>
                <w:highlight w:val="none"/>
              </w:rPr>
              <w:t>√</w:t>
            </w:r>
          </w:p>
        </w:tc>
        <w:tc>
          <w:tcPr>
            <w:tcW w:w="720" w:type="dxa"/>
            <w:shd w:val="clear" w:color="auto" w:fill="auto"/>
            <w:vAlign w:val="center"/>
          </w:tcPr>
          <w:p>
            <w:pPr>
              <w:rPr>
                <w:rFonts w:hint="eastAsia" w:ascii="仿宋_GB2312" w:hAnsi="宋体" w:eastAsia="仿宋_GB2312" w:cs="宋体"/>
                <w:bCs/>
                <w:sz w:val="18"/>
                <w:szCs w:val="18"/>
                <w:highlight w:val="none"/>
              </w:rPr>
            </w:pPr>
            <w:r>
              <w:rPr>
                <w:rFonts w:hint="eastAsia" w:ascii="仿宋_GB2312" w:eastAsia="仿宋_GB2312"/>
                <w:bCs/>
                <w:sz w:val="18"/>
                <w:szCs w:val="18"/>
                <w:highlight w:val="none"/>
              </w:rPr>
              <w:t>　</w:t>
            </w:r>
          </w:p>
        </w:tc>
        <w:tc>
          <w:tcPr>
            <w:tcW w:w="540" w:type="dxa"/>
            <w:shd w:val="clear" w:color="auto" w:fill="auto"/>
            <w:vAlign w:val="center"/>
          </w:tcPr>
          <w:p>
            <w:pPr>
              <w:rPr>
                <w:rFonts w:hint="eastAsia" w:ascii="仿宋_GB2312" w:hAnsi="宋体" w:eastAsia="仿宋_GB2312" w:cs="宋体"/>
                <w:bCs/>
                <w:sz w:val="18"/>
                <w:szCs w:val="18"/>
                <w:highlight w:val="none"/>
              </w:rPr>
            </w:pPr>
            <w:r>
              <w:rPr>
                <w:rFonts w:hint="eastAsia" w:ascii="仿宋_GB2312" w:eastAsia="仿宋_GB2312"/>
                <w:bCs/>
                <w:sz w:val="18"/>
                <w:szCs w:val="18"/>
                <w:highlight w:val="none"/>
              </w:rPr>
              <w:t>√</w:t>
            </w:r>
          </w:p>
        </w:tc>
        <w:tc>
          <w:tcPr>
            <w:tcW w:w="540" w:type="dxa"/>
            <w:shd w:val="clear" w:color="auto" w:fill="auto"/>
            <w:vAlign w:val="center"/>
          </w:tcPr>
          <w:p>
            <w:pPr>
              <w:rPr>
                <w:rFonts w:hint="eastAsia" w:ascii="仿宋_GB2312" w:hAnsi="宋体" w:eastAsia="仿宋_GB2312" w:cs="宋体"/>
                <w:bCs/>
                <w:sz w:val="18"/>
                <w:szCs w:val="18"/>
                <w:highlight w:val="none"/>
              </w:rPr>
            </w:pPr>
            <w:r>
              <w:rPr>
                <w:rFonts w:hint="eastAsia" w:ascii="仿宋_GB2312" w:eastAsia="仿宋_GB2312"/>
                <w:bCs/>
                <w:sz w:val="18"/>
                <w:szCs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9"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7</w:t>
            </w:r>
          </w:p>
        </w:tc>
        <w:tc>
          <w:tcPr>
            <w:tcW w:w="900"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公共</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服务</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政务公开目录</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政务公开事项的索引、名称、内容概述、生成日期等</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9"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8</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政务公开标准</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政府信息公开指南等流程性信息</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按进展情况及时公开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lang w:eastAsia="zh-CN"/>
              </w:rPr>
            </w:pPr>
            <w:r>
              <w:rPr>
                <w:rFonts w:hint="eastAsia" w:ascii="仿宋_GB2312" w:hAnsi="宋体" w:eastAsia="仿宋_GB2312" w:cs="宋体"/>
                <w:color w:val="000000"/>
                <w:sz w:val="18"/>
                <w:szCs w:val="18"/>
                <w:lang w:val="en-US" w:eastAsia="zh-CN"/>
              </w:rPr>
              <w:t>19</w:t>
            </w:r>
          </w:p>
        </w:tc>
        <w:tc>
          <w:tcPr>
            <w:tcW w:w="900"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公共</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服务</w:t>
            </w:r>
          </w:p>
        </w:tc>
        <w:tc>
          <w:tcPr>
            <w:tcW w:w="108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权力清单及责任清单</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同级政府审批通过的行政执法主体信息和行政许可、行政处罚、行政强制、行政检查、行政确认、行政奖励及其他行政职权等行政执法职权职责清单</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信息形成或者变更20个工作日内，如有更新，及时公开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r>
              <w:rPr>
                <w:rFonts w:hint="eastAsia" w:ascii="仿宋_GB2312" w:hAnsi="宋体" w:eastAsia="仿宋_GB2312" w:cs="宋体"/>
                <w:color w:val="000000"/>
                <w:sz w:val="18"/>
                <w:szCs w:val="18"/>
                <w:lang w:val="en-US" w:eastAsia="zh-CN"/>
              </w:rPr>
              <w:t>0</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主要业务办事指南</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主要业务工作的办事依据、程序、时限，办事时间、地点、部门、联系方式及相关办理结果</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信息形成或者变更之日起20个工作日内</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r>
              <w:rPr>
                <w:rFonts w:hint="eastAsia" w:ascii="仿宋_GB2312" w:hAnsi="宋体" w:eastAsia="仿宋_GB2312" w:cs="宋体"/>
                <w:color w:val="000000"/>
                <w:sz w:val="18"/>
                <w:szCs w:val="18"/>
                <w:lang w:val="en-US" w:eastAsia="zh-CN"/>
              </w:rPr>
              <w:t>1</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年度报告</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政府信息公开年度报告及相关统计报表</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《政府信息公开条例》</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每年1月31日前</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r>
              <w:rPr>
                <w:rFonts w:hint="eastAsia" w:ascii="仿宋_GB2312" w:hAnsi="宋体" w:eastAsia="仿宋_GB2312" w:cs="宋体"/>
                <w:color w:val="000000"/>
                <w:sz w:val="18"/>
                <w:szCs w:val="18"/>
                <w:lang w:val="en-US" w:eastAsia="zh-CN"/>
              </w:rPr>
              <w:t>2</w:t>
            </w:r>
          </w:p>
        </w:tc>
        <w:tc>
          <w:tcPr>
            <w:tcW w:w="90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重点</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领域</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信息</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公开</w:t>
            </w:r>
          </w:p>
        </w:tc>
        <w:tc>
          <w:tcPr>
            <w:tcW w:w="108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财政资金信息</w:t>
            </w:r>
          </w:p>
        </w:tc>
        <w:tc>
          <w:tcPr>
            <w:tcW w:w="2520" w:type="dxa"/>
            <w:shd w:val="clear" w:color="auto" w:fill="auto"/>
            <w:vAlign w:val="center"/>
          </w:tcPr>
          <w:p>
            <w:pPr>
              <w:rPr>
                <w:rFonts w:hint="eastAsia" w:ascii="仿宋_GB2312" w:eastAsia="仿宋_GB2312"/>
                <w:bCs/>
                <w:sz w:val="18"/>
                <w:szCs w:val="18"/>
              </w:rPr>
            </w:pPr>
            <w:r>
              <w:rPr>
                <w:rFonts w:hint="eastAsia" w:ascii="仿宋_GB2312" w:eastAsia="仿宋_GB2312"/>
                <w:bCs/>
                <w:sz w:val="18"/>
                <w:szCs w:val="18"/>
              </w:rPr>
              <w:t>预算、决算</w:t>
            </w:r>
          </w:p>
          <w:p>
            <w:pPr>
              <w:rPr>
                <w:rFonts w:hint="eastAsia" w:ascii="仿宋_GB2312" w:eastAsia="仿宋_GB2312"/>
                <w:bCs/>
                <w:sz w:val="18"/>
                <w:szCs w:val="18"/>
              </w:rPr>
            </w:pPr>
            <w:r>
              <w:rPr>
                <w:rFonts w:hint="eastAsia" w:ascii="仿宋_GB2312" w:eastAsia="仿宋_GB2312"/>
                <w:bCs/>
                <w:sz w:val="18"/>
                <w:szCs w:val="18"/>
              </w:rPr>
              <w:t xml:space="preserve"> “三公”经费</w:t>
            </w:r>
          </w:p>
          <w:p>
            <w:pPr>
              <w:rPr>
                <w:rFonts w:hint="eastAsia" w:ascii="仿宋_GB2312" w:hAnsi="宋体" w:eastAsia="仿宋_GB2312" w:cs="宋体"/>
                <w:bCs/>
                <w:sz w:val="18"/>
                <w:szCs w:val="18"/>
              </w:rPr>
            </w:pPr>
            <w:r>
              <w:rPr>
                <w:rFonts w:hint="eastAsia" w:ascii="仿宋_GB2312" w:eastAsia="仿宋_GB2312"/>
                <w:bCs/>
                <w:sz w:val="18"/>
                <w:szCs w:val="18"/>
              </w:rPr>
              <w:t>安全生产专项资金使用等财政资金信息</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《政府信息公开条例》、《国务院关于深化预算管理制度改革的决定》、《国务院办公厅关于进一步推进预算公开工作意见的通知》</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按中央要求时限公开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5"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r>
              <w:rPr>
                <w:rFonts w:hint="eastAsia" w:ascii="仿宋_GB2312" w:hAnsi="宋体" w:eastAsia="仿宋_GB2312" w:cs="宋体"/>
                <w:color w:val="000000"/>
                <w:sz w:val="18"/>
                <w:szCs w:val="18"/>
                <w:lang w:val="en-US" w:eastAsia="zh-CN"/>
              </w:rPr>
              <w:t>3</w:t>
            </w:r>
          </w:p>
        </w:tc>
        <w:tc>
          <w:tcPr>
            <w:tcW w:w="900"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重点</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领域</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信息</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公开</w:t>
            </w:r>
          </w:p>
        </w:tc>
        <w:tc>
          <w:tcPr>
            <w:tcW w:w="108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政府采购信息</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本单位采购实施情况相关信息</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《政府信息公开条例》、《国务院关于深化预算管理制度改革的决定》、中办、国办印发《关于进一步推进预算公开工作的意见》的通知</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按进展情况及时公开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r>
              <w:rPr>
                <w:rFonts w:hint="eastAsia" w:ascii="仿宋_GB2312" w:hAnsi="宋体" w:eastAsia="仿宋_GB2312" w:cs="宋体"/>
                <w:color w:val="000000"/>
                <w:sz w:val="18"/>
                <w:szCs w:val="18"/>
                <w:lang w:val="en-US" w:eastAsia="zh-CN"/>
              </w:rPr>
              <w:t>4</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办事纪律和监督管理</w:t>
            </w:r>
          </w:p>
        </w:tc>
        <w:tc>
          <w:tcPr>
            <w:tcW w:w="25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本单位的办事纪律,受理投诉、举报、信访的途径等内容</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按进展情况及时公开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r>
              <w:rPr>
                <w:rFonts w:hint="eastAsia" w:ascii="仿宋_GB2312" w:hAnsi="宋体" w:eastAsia="仿宋_GB2312" w:cs="宋体"/>
                <w:color w:val="000000"/>
                <w:sz w:val="18"/>
                <w:szCs w:val="18"/>
                <w:lang w:val="en-US" w:eastAsia="zh-CN"/>
              </w:rPr>
              <w:t>5</w:t>
            </w:r>
          </w:p>
        </w:tc>
        <w:tc>
          <w:tcPr>
            <w:tcW w:w="900" w:type="dxa"/>
            <w:vMerge w:val="restart"/>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重点</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领域</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信息</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公开</w:t>
            </w: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重大工程项目信息</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项目名称、执行措施、责任分工、取得成效、后续举措等</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《政府信息公开条例》、《国务院办公厅关于推进重大建设项目批准和实施领域政府信息公开的意见》</w:t>
            </w:r>
          </w:p>
        </w:tc>
        <w:tc>
          <w:tcPr>
            <w:tcW w:w="180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按照中央有关要求公开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■政府网站</w:t>
            </w:r>
            <w:r>
              <w:rPr>
                <w:rFonts w:hint="eastAsia" w:ascii="仿宋_GB2312" w:eastAsia="仿宋_GB2312"/>
                <w:sz w:val="18"/>
                <w:szCs w:val="18"/>
              </w:rPr>
              <w:br w:type="textWrapping"/>
            </w:r>
            <w:r>
              <w:rPr>
                <w:rFonts w:hint="eastAsia" w:ascii="仿宋_GB2312" w:eastAsia="仿宋_GB2312"/>
                <w:sz w:val="18"/>
                <w:szCs w:val="18"/>
              </w:rPr>
              <w:t>■公开查阅点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6"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r>
              <w:rPr>
                <w:rFonts w:hint="eastAsia" w:ascii="仿宋_GB2312" w:hAnsi="宋体" w:eastAsia="仿宋_GB2312" w:cs="宋体"/>
                <w:color w:val="000000"/>
                <w:sz w:val="18"/>
                <w:szCs w:val="18"/>
                <w:lang w:val="en-US" w:eastAsia="zh-CN"/>
              </w:rPr>
              <w:t>6</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检查和巡查发现安全监管监察问题</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检查和巡查发现的、并要求向社会公开的问题及整改落实情况</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《政府信息公开条例》、《中共中央 国务院关于推进安全生产领域改革发展的意见》</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按进展情况及时公开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   ■公开查阅点 ■政务服务中心</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7" w:hRule="atLeast"/>
        </w:trPr>
        <w:tc>
          <w:tcPr>
            <w:tcW w:w="540" w:type="dxa"/>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2</w:t>
            </w:r>
            <w:r>
              <w:rPr>
                <w:rFonts w:hint="eastAsia" w:ascii="仿宋_GB2312" w:hAnsi="宋体" w:eastAsia="仿宋_GB2312" w:cs="宋体"/>
                <w:color w:val="000000"/>
                <w:sz w:val="18"/>
                <w:szCs w:val="18"/>
                <w:lang w:val="en-US" w:eastAsia="zh-CN"/>
              </w:rPr>
              <w:t>7</w:t>
            </w:r>
          </w:p>
        </w:tc>
        <w:tc>
          <w:tcPr>
            <w:tcW w:w="900" w:type="dxa"/>
            <w:vMerge w:val="continue"/>
            <w:shd w:val="clear" w:color="auto" w:fill="auto"/>
            <w:vAlign w:val="center"/>
          </w:tcPr>
          <w:p>
            <w:pPr>
              <w:rPr>
                <w:rFonts w:hint="eastAsia" w:ascii="仿宋_GB2312" w:hAnsi="宋体" w:eastAsia="仿宋_GB2312" w:cs="宋体"/>
                <w:color w:val="000000"/>
                <w:sz w:val="18"/>
                <w:szCs w:val="18"/>
              </w:rPr>
            </w:pPr>
          </w:p>
        </w:tc>
        <w:tc>
          <w:tcPr>
            <w:tcW w:w="108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建议提案办理</w:t>
            </w:r>
          </w:p>
        </w:tc>
        <w:tc>
          <w:tcPr>
            <w:tcW w:w="2520" w:type="dxa"/>
            <w:shd w:val="clear" w:color="auto" w:fill="auto"/>
            <w:vAlign w:val="center"/>
          </w:tcPr>
          <w:p>
            <w:pPr>
              <w:rPr>
                <w:rFonts w:hint="eastAsia" w:ascii="仿宋_GB2312" w:eastAsia="仿宋_GB2312"/>
                <w:bCs/>
                <w:color w:val="000000"/>
                <w:sz w:val="18"/>
                <w:szCs w:val="18"/>
              </w:rPr>
            </w:pPr>
            <w:r>
              <w:rPr>
                <w:rFonts w:hint="eastAsia" w:ascii="仿宋_GB2312" w:eastAsia="仿宋_GB2312"/>
                <w:bCs/>
                <w:color w:val="000000"/>
                <w:sz w:val="18"/>
                <w:szCs w:val="18"/>
              </w:rPr>
              <w:t xml:space="preserve">办理制度与推进情况            </w:t>
            </w:r>
          </w:p>
          <w:p>
            <w:pPr>
              <w:rPr>
                <w:rFonts w:hint="eastAsia" w:ascii="仿宋_GB2312" w:eastAsia="仿宋_GB2312"/>
                <w:bCs/>
                <w:color w:val="000000"/>
                <w:sz w:val="18"/>
                <w:szCs w:val="18"/>
              </w:rPr>
            </w:pPr>
            <w:r>
              <w:rPr>
                <w:rFonts w:hint="eastAsia" w:ascii="仿宋_GB2312" w:eastAsia="仿宋_GB2312"/>
                <w:bCs/>
                <w:color w:val="000000"/>
                <w:sz w:val="18"/>
                <w:szCs w:val="18"/>
              </w:rPr>
              <w:t xml:space="preserve">人大代表建议办理              </w:t>
            </w:r>
          </w:p>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政协委员提案办理</w:t>
            </w:r>
          </w:p>
        </w:tc>
        <w:tc>
          <w:tcPr>
            <w:tcW w:w="25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《政府信息公开条例》、《国务院办公厅关于做好全国人大代表建议和全国政协委员提案办理结果公开工作的通知》</w:t>
            </w:r>
          </w:p>
        </w:tc>
        <w:tc>
          <w:tcPr>
            <w:tcW w:w="18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按照中央有关要求公开</w:t>
            </w:r>
          </w:p>
        </w:tc>
        <w:tc>
          <w:tcPr>
            <w:tcW w:w="90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应急管理部门</w:t>
            </w:r>
          </w:p>
        </w:tc>
        <w:tc>
          <w:tcPr>
            <w:tcW w:w="1496" w:type="dxa"/>
            <w:shd w:val="clear" w:color="auto" w:fill="auto"/>
            <w:vAlign w:val="center"/>
          </w:tcPr>
          <w:p>
            <w:pPr>
              <w:spacing w:line="240" w:lineRule="exact"/>
              <w:jc w:val="left"/>
              <w:rPr>
                <w:rFonts w:hint="eastAsia" w:ascii="仿宋_GB2312" w:hAnsi="宋体" w:eastAsia="仿宋_GB2312" w:cs="宋体"/>
                <w:bCs/>
                <w:sz w:val="18"/>
                <w:szCs w:val="18"/>
              </w:rPr>
            </w:pPr>
            <w:r>
              <w:rPr>
                <w:rFonts w:hint="eastAsia" w:ascii="仿宋_GB2312" w:eastAsia="仿宋_GB2312"/>
                <w:sz w:val="18"/>
                <w:szCs w:val="18"/>
              </w:rPr>
              <w:t>■政府网站   ■公开查阅点 ■政务服务中心</w:t>
            </w:r>
            <w:r>
              <w:rPr>
                <w:rFonts w:hint="eastAsia" w:ascii="仿宋_GB2312" w:eastAsia="仿宋_GB2312"/>
                <w:sz w:val="18"/>
                <w:szCs w:val="18"/>
              </w:rPr>
              <w:br w:type="textWrapping"/>
            </w:r>
            <w:r>
              <w:rPr>
                <w:rFonts w:hint="eastAsia" w:ascii="仿宋_GB2312" w:eastAsia="仿宋_GB2312"/>
                <w:sz w:val="18"/>
                <w:szCs w:val="18"/>
              </w:rPr>
              <w:t>■便民服务站</w:t>
            </w:r>
          </w:p>
        </w:tc>
        <w:tc>
          <w:tcPr>
            <w:tcW w:w="664"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72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72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c>
          <w:tcPr>
            <w:tcW w:w="540" w:type="dxa"/>
            <w:shd w:val="clear" w:color="auto" w:fill="auto"/>
            <w:vAlign w:val="center"/>
          </w:tcPr>
          <w:p>
            <w:pPr>
              <w:rPr>
                <w:rFonts w:hint="eastAsia" w:ascii="仿宋_GB2312" w:hAnsi="宋体" w:eastAsia="仿宋_GB2312" w:cs="宋体"/>
                <w:bCs/>
                <w:sz w:val="18"/>
                <w:szCs w:val="18"/>
              </w:rPr>
            </w:pPr>
            <w:r>
              <w:rPr>
                <w:rFonts w:hint="eastAsia" w:ascii="仿宋_GB2312" w:eastAsia="仿宋_GB2312"/>
                <w:bCs/>
                <w:sz w:val="18"/>
                <w:szCs w:val="18"/>
              </w:rPr>
              <w:t>√</w:t>
            </w:r>
          </w:p>
        </w:tc>
        <w:tc>
          <w:tcPr>
            <w:tcW w:w="540" w:type="dxa"/>
            <w:shd w:val="clear" w:color="auto" w:fill="auto"/>
            <w:vAlign w:val="center"/>
          </w:tcPr>
          <w:p>
            <w:pPr>
              <w:rPr>
                <w:rFonts w:hint="eastAsia" w:ascii="仿宋_GB2312" w:hAnsi="宋体" w:eastAsia="仿宋_GB2312" w:cs="宋体"/>
                <w:bCs/>
                <w:color w:val="000000"/>
                <w:sz w:val="18"/>
                <w:szCs w:val="18"/>
              </w:rPr>
            </w:pPr>
            <w:r>
              <w:rPr>
                <w:rFonts w:hint="eastAsia" w:ascii="仿宋_GB2312" w:eastAsia="仿宋_GB2312"/>
                <w:bCs/>
                <w:color w:val="000000"/>
                <w:sz w:val="18"/>
                <w:szCs w:val="18"/>
              </w:rPr>
              <w:t>　</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6E62AC"/>
    <w:rsid w:val="0A6E62AC"/>
    <w:rsid w:val="268B4A62"/>
    <w:rsid w:val="680F5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揭阳空港经济区环境保护和安全生产监管局</Company>
  <Pages>1</Pages>
  <Words>0</Words>
  <Characters>0</Characters>
  <Lines>0</Lines>
  <Paragraphs>0</Paragraphs>
  <TotalTime>2</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2020-10-23T06:57:00Z</dcterms:created>
  <dc:creator>Administrator</dc:creator>
  <cp:lastModifiedBy>Administrator</cp:lastModifiedBy>
  <dcterms:modified xsi:type="dcterms:W3CDTF">2020-10-29T06:22:16Z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