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方正小标宋_GBK" w:hAnsi="方正小标宋_GBK" w:eastAsia="方正小标宋_GBK"/>
          <w:b w:val="0"/>
          <w:bCs w:val="0"/>
          <w:sz w:val="30"/>
        </w:rPr>
      </w:pPr>
      <w:bookmarkStart w:id="0" w:name="_Toc24724706"/>
      <w:r>
        <w:rPr>
          <w:rFonts w:hint="eastAsia" w:ascii="方正小标宋_GBK" w:hAnsi="方正小标宋_GBK" w:eastAsia="方正小标宋_GBK"/>
          <w:b w:val="0"/>
          <w:bCs w:val="0"/>
          <w:sz w:val="30"/>
        </w:rPr>
        <w:t>（</w:t>
      </w:r>
      <w:r>
        <w:rPr>
          <w:rFonts w:hint="eastAsia" w:ascii="方正小标宋_GBK" w:hAnsi="方正小标宋_GBK" w:eastAsia="方正小标宋_GBK"/>
          <w:b w:val="0"/>
          <w:bCs w:val="0"/>
          <w:sz w:val="30"/>
          <w:lang w:eastAsia="zh-CN"/>
        </w:rPr>
        <w:t>二</w:t>
      </w:r>
      <w:bookmarkStart w:id="1" w:name="_GoBack"/>
      <w:bookmarkEnd w:id="1"/>
      <w:r>
        <w:rPr>
          <w:rFonts w:hint="eastAsia" w:ascii="方正小标宋_GBK" w:hAnsi="方正小标宋_GBK" w:eastAsia="方正小标宋_GBK"/>
          <w:b w:val="0"/>
          <w:bCs w:val="0"/>
          <w:sz w:val="30"/>
        </w:rPr>
        <w:t>）义务教育领域基层政务公开标准目录</w:t>
      </w:r>
      <w:bookmarkEnd w:id="0"/>
    </w:p>
    <w:tbl>
      <w:tblPr>
        <w:tblStyle w:val="4"/>
        <w:tblW w:w="14902" w:type="dxa"/>
        <w:tblInd w:w="-7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7"/>
        <w:gridCol w:w="497"/>
        <w:gridCol w:w="828"/>
        <w:gridCol w:w="2152"/>
        <w:gridCol w:w="2015"/>
        <w:gridCol w:w="1545"/>
        <w:gridCol w:w="780"/>
        <w:gridCol w:w="1290"/>
        <w:gridCol w:w="795"/>
        <w:gridCol w:w="780"/>
        <w:gridCol w:w="585"/>
        <w:gridCol w:w="900"/>
        <w:gridCol w:w="555"/>
        <w:gridCol w:w="885"/>
        <w:gridCol w:w="797"/>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97" w:type="dxa"/>
            <w:vMerge w:val="restart"/>
            <w:shd w:val="clear" w:color="auto" w:fill="auto"/>
            <w:vAlign w:val="center"/>
          </w:tcPr>
          <w:p>
            <w:pPr>
              <w:widowControl/>
              <w:jc w:val="center"/>
              <w:rPr>
                <w:rFonts w:hint="eastAsia" w:ascii="黑体" w:hAnsi="Times New Roman" w:eastAsia="黑体"/>
                <w:color w:val="000000"/>
                <w:kern w:val="0"/>
                <w:sz w:val="22"/>
              </w:rPr>
            </w:pPr>
            <w:r>
              <w:rPr>
                <w:rFonts w:hint="eastAsia" w:ascii="黑体" w:hAnsi="宋体" w:eastAsia="黑体"/>
                <w:color w:val="000000"/>
                <w:kern w:val="0"/>
                <w:sz w:val="22"/>
              </w:rPr>
              <w:t>序号</w:t>
            </w:r>
          </w:p>
        </w:tc>
        <w:tc>
          <w:tcPr>
            <w:tcW w:w="1325" w:type="dxa"/>
            <w:gridSpan w:val="2"/>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公开事项</w:t>
            </w:r>
          </w:p>
        </w:tc>
        <w:tc>
          <w:tcPr>
            <w:tcW w:w="2152" w:type="dxa"/>
            <w:vMerge w:val="restart"/>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2015" w:type="dxa"/>
            <w:vMerge w:val="restart"/>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公开依据</w:t>
            </w:r>
          </w:p>
        </w:tc>
        <w:tc>
          <w:tcPr>
            <w:tcW w:w="1545" w:type="dxa"/>
            <w:vMerge w:val="restart"/>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公开时限</w:t>
            </w:r>
          </w:p>
        </w:tc>
        <w:tc>
          <w:tcPr>
            <w:tcW w:w="780" w:type="dxa"/>
            <w:vMerge w:val="restart"/>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公开主体</w:t>
            </w:r>
          </w:p>
        </w:tc>
        <w:tc>
          <w:tcPr>
            <w:tcW w:w="1290" w:type="dxa"/>
            <w:vMerge w:val="restart"/>
            <w:shd w:val="clear" w:color="auto" w:fill="auto"/>
            <w:vAlign w:val="center"/>
          </w:tcPr>
          <w:p>
            <w:pPr>
              <w:widowControl/>
              <w:jc w:val="center"/>
              <w:rPr>
                <w:rFonts w:hint="eastAsia" w:ascii="黑体" w:hAnsi="宋体" w:eastAsia="黑体" w:cs="宋体"/>
                <w:color w:val="FF0000"/>
                <w:kern w:val="0"/>
                <w:sz w:val="22"/>
              </w:rPr>
            </w:pPr>
            <w:r>
              <w:rPr>
                <w:rFonts w:hint="eastAsia" w:ascii="黑体" w:hAnsi="宋体" w:eastAsia="黑体" w:cs="宋体"/>
                <w:color w:val="FF0000"/>
                <w:kern w:val="0"/>
                <w:sz w:val="22"/>
              </w:rPr>
              <w:t>公开渠道和载体</w:t>
            </w:r>
          </w:p>
        </w:tc>
        <w:tc>
          <w:tcPr>
            <w:tcW w:w="1575" w:type="dxa"/>
            <w:gridSpan w:val="2"/>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公开对象</w:t>
            </w:r>
          </w:p>
        </w:tc>
        <w:tc>
          <w:tcPr>
            <w:tcW w:w="1485" w:type="dxa"/>
            <w:gridSpan w:val="2"/>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公开方式</w:t>
            </w:r>
          </w:p>
        </w:tc>
        <w:tc>
          <w:tcPr>
            <w:tcW w:w="1440" w:type="dxa"/>
            <w:gridSpan w:val="2"/>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公开层级</w:t>
            </w:r>
          </w:p>
        </w:tc>
        <w:tc>
          <w:tcPr>
            <w:tcW w:w="798" w:type="dxa"/>
            <w:gridSpan w:val="2"/>
            <w:shd w:val="clear" w:color="auto" w:fill="auto"/>
            <w:vAlign w:val="center"/>
          </w:tcPr>
          <w:p>
            <w:pPr>
              <w:widowControl/>
              <w:jc w:val="center"/>
              <w:rPr>
                <w:rFonts w:hint="eastAsia" w:ascii="黑体" w:hAnsi="宋体" w:eastAsia="黑体" w:cs="宋体"/>
                <w:color w:val="000000"/>
                <w:kern w:val="0"/>
                <w:sz w:val="22"/>
                <w:lang w:val="en-US" w:eastAsia="zh-CN"/>
              </w:rPr>
            </w:pPr>
            <w:r>
              <w:rPr>
                <w:rFonts w:hint="eastAsia" w:ascii="黑体" w:hAnsi="宋体" w:eastAsia="黑体" w:cs="宋体"/>
                <w:color w:val="000000"/>
                <w:kern w:val="0"/>
                <w:sz w:val="22"/>
                <w:lang w:val="en-US" w:eastAsia="zh-CN"/>
              </w:rPr>
              <w:t>事项性质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vMerge w:val="continue"/>
            <w:shd w:val="clear" w:color="auto" w:fill="auto"/>
            <w:vAlign w:val="center"/>
          </w:tcPr>
          <w:p>
            <w:pPr>
              <w:widowControl/>
              <w:jc w:val="left"/>
              <w:rPr>
                <w:rFonts w:hint="eastAsia" w:ascii="黑体" w:hAnsi="Times New Roman" w:eastAsia="黑体"/>
                <w:color w:val="000000"/>
                <w:kern w:val="0"/>
                <w:sz w:val="22"/>
              </w:rPr>
            </w:pPr>
          </w:p>
        </w:tc>
        <w:tc>
          <w:tcPr>
            <w:tcW w:w="497" w:type="dxa"/>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一级事项</w:t>
            </w:r>
          </w:p>
        </w:tc>
        <w:tc>
          <w:tcPr>
            <w:tcW w:w="828" w:type="dxa"/>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二级事项</w:t>
            </w:r>
          </w:p>
        </w:tc>
        <w:tc>
          <w:tcPr>
            <w:tcW w:w="2152" w:type="dxa"/>
            <w:vMerge w:val="continue"/>
            <w:shd w:val="clear" w:color="auto" w:fill="auto"/>
            <w:vAlign w:val="center"/>
          </w:tcPr>
          <w:p>
            <w:pPr>
              <w:widowControl/>
              <w:jc w:val="left"/>
              <w:rPr>
                <w:rFonts w:hint="eastAsia" w:ascii="黑体" w:hAnsi="宋体" w:eastAsia="黑体" w:cs="宋体"/>
                <w:color w:val="000000"/>
                <w:kern w:val="0"/>
                <w:sz w:val="22"/>
              </w:rPr>
            </w:pPr>
          </w:p>
        </w:tc>
        <w:tc>
          <w:tcPr>
            <w:tcW w:w="2015" w:type="dxa"/>
            <w:vMerge w:val="continue"/>
            <w:shd w:val="clear" w:color="auto" w:fill="auto"/>
            <w:vAlign w:val="center"/>
          </w:tcPr>
          <w:p>
            <w:pPr>
              <w:widowControl/>
              <w:jc w:val="left"/>
              <w:rPr>
                <w:rFonts w:hint="eastAsia" w:ascii="黑体" w:hAnsi="宋体" w:eastAsia="黑体" w:cs="宋体"/>
                <w:color w:val="000000"/>
                <w:kern w:val="0"/>
                <w:sz w:val="22"/>
              </w:rPr>
            </w:pPr>
          </w:p>
        </w:tc>
        <w:tc>
          <w:tcPr>
            <w:tcW w:w="1545" w:type="dxa"/>
            <w:vMerge w:val="continue"/>
            <w:shd w:val="clear" w:color="auto" w:fill="auto"/>
            <w:vAlign w:val="center"/>
          </w:tcPr>
          <w:p>
            <w:pPr>
              <w:widowControl/>
              <w:jc w:val="left"/>
              <w:rPr>
                <w:rFonts w:hint="eastAsia" w:ascii="黑体" w:hAnsi="宋体" w:eastAsia="黑体" w:cs="宋体"/>
                <w:color w:val="000000"/>
                <w:kern w:val="0"/>
                <w:sz w:val="22"/>
              </w:rPr>
            </w:pPr>
          </w:p>
        </w:tc>
        <w:tc>
          <w:tcPr>
            <w:tcW w:w="780" w:type="dxa"/>
            <w:vMerge w:val="continue"/>
            <w:shd w:val="clear" w:color="auto" w:fill="auto"/>
            <w:vAlign w:val="center"/>
          </w:tcPr>
          <w:p>
            <w:pPr>
              <w:widowControl/>
              <w:jc w:val="left"/>
              <w:rPr>
                <w:rFonts w:hint="eastAsia" w:ascii="黑体" w:hAnsi="宋体" w:eastAsia="黑体" w:cs="宋体"/>
                <w:color w:val="000000"/>
                <w:kern w:val="0"/>
                <w:sz w:val="22"/>
              </w:rPr>
            </w:pPr>
          </w:p>
        </w:tc>
        <w:tc>
          <w:tcPr>
            <w:tcW w:w="1290" w:type="dxa"/>
            <w:vMerge w:val="continue"/>
            <w:shd w:val="clear" w:color="auto" w:fill="auto"/>
            <w:vAlign w:val="center"/>
          </w:tcPr>
          <w:p>
            <w:pPr>
              <w:widowControl/>
              <w:jc w:val="left"/>
              <w:rPr>
                <w:rFonts w:hint="eastAsia" w:ascii="黑体" w:hAnsi="宋体" w:eastAsia="黑体" w:cs="宋体"/>
                <w:color w:val="FF0000"/>
                <w:kern w:val="0"/>
                <w:sz w:val="22"/>
              </w:rPr>
            </w:pPr>
          </w:p>
        </w:tc>
        <w:tc>
          <w:tcPr>
            <w:tcW w:w="795" w:type="dxa"/>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全社会</w:t>
            </w:r>
          </w:p>
        </w:tc>
        <w:tc>
          <w:tcPr>
            <w:tcW w:w="780" w:type="dxa"/>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特定群众</w:t>
            </w:r>
          </w:p>
        </w:tc>
        <w:tc>
          <w:tcPr>
            <w:tcW w:w="585" w:type="dxa"/>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主动</w:t>
            </w:r>
          </w:p>
        </w:tc>
        <w:tc>
          <w:tcPr>
            <w:tcW w:w="900" w:type="dxa"/>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依申请公开</w:t>
            </w:r>
          </w:p>
        </w:tc>
        <w:tc>
          <w:tcPr>
            <w:tcW w:w="555" w:type="dxa"/>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县级</w:t>
            </w:r>
          </w:p>
        </w:tc>
        <w:tc>
          <w:tcPr>
            <w:tcW w:w="885" w:type="dxa"/>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乡、村级</w:t>
            </w:r>
          </w:p>
        </w:tc>
        <w:tc>
          <w:tcPr>
            <w:tcW w:w="797" w:type="dxa"/>
            <w:shd w:val="clear" w:color="auto" w:fill="auto"/>
            <w:vAlign w:val="center"/>
          </w:tcPr>
          <w:p>
            <w:pPr>
              <w:widowControl/>
              <w:jc w:val="center"/>
              <w:rPr>
                <w:rFonts w:hint="eastAsia" w:ascii="黑体" w:hAnsi="宋体" w:eastAsia="黑体"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Height w:val="1056" w:hRule="atLeast"/>
        </w:trPr>
        <w:tc>
          <w:tcPr>
            <w:tcW w:w="497" w:type="dxa"/>
            <w:vMerge w:val="restart"/>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1</w:t>
            </w:r>
          </w:p>
        </w:tc>
        <w:tc>
          <w:tcPr>
            <w:tcW w:w="497" w:type="dxa"/>
            <w:vMerge w:val="restart"/>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政策</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文件</w:t>
            </w:r>
          </w:p>
        </w:tc>
        <w:tc>
          <w:tcPr>
            <w:tcW w:w="828"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教育法律</w:t>
            </w:r>
          </w:p>
        </w:tc>
        <w:tc>
          <w:tcPr>
            <w:tcW w:w="2152"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《教育法》、《义务教育法》、《民办教育促进法》、《教师法》、《国家通用语言文字法》</w:t>
            </w:r>
          </w:p>
        </w:tc>
        <w:tc>
          <w:tcPr>
            <w:tcW w:w="2015"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《政府信息公开条例》</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1290" w:type="dxa"/>
            <w:shd w:val="clear" w:color="auto" w:fill="auto"/>
            <w:vAlign w:val="center"/>
          </w:tcPr>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8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97" w:type="dxa"/>
            <w:shd w:val="clear" w:color="auto" w:fill="auto"/>
            <w:vAlign w:val="center"/>
          </w:tcPr>
          <w:p>
            <w:pPr>
              <w:jc w:val="center"/>
              <w:rPr>
                <w:rFonts w:hint="eastAsia" w:ascii="仿宋_GB2312" w:hAnsi="仿宋"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vMerge w:val="continue"/>
            <w:shd w:val="clear" w:color="auto" w:fill="auto"/>
            <w:vAlign w:val="center"/>
          </w:tcPr>
          <w:p>
            <w:pPr>
              <w:rPr>
                <w:rFonts w:hint="eastAsia" w:ascii="仿宋_GB2312" w:hAnsi="宋体" w:eastAsia="仿宋_GB2312" w:cs="宋体"/>
                <w:color w:val="000000"/>
                <w:sz w:val="18"/>
                <w:szCs w:val="18"/>
              </w:rPr>
            </w:pPr>
          </w:p>
        </w:tc>
        <w:tc>
          <w:tcPr>
            <w:tcW w:w="497" w:type="dxa"/>
            <w:vMerge w:val="continue"/>
            <w:shd w:val="clear" w:color="auto" w:fill="auto"/>
            <w:vAlign w:val="center"/>
          </w:tcPr>
          <w:p>
            <w:pPr>
              <w:rPr>
                <w:rFonts w:hint="eastAsia" w:ascii="仿宋_GB2312" w:hAnsi="宋体" w:eastAsia="仿宋_GB2312" w:cs="宋体"/>
                <w:color w:val="000000"/>
                <w:sz w:val="18"/>
                <w:szCs w:val="18"/>
              </w:rPr>
            </w:pPr>
          </w:p>
        </w:tc>
        <w:tc>
          <w:tcPr>
            <w:tcW w:w="828"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规范性文件</w:t>
            </w:r>
          </w:p>
        </w:tc>
        <w:tc>
          <w:tcPr>
            <w:tcW w:w="2152"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部门和地方政府规章、各类教育政策文件</w:t>
            </w:r>
          </w:p>
        </w:tc>
        <w:tc>
          <w:tcPr>
            <w:tcW w:w="2015"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《政府信息公开条例》</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1290" w:type="dxa"/>
            <w:shd w:val="clear" w:color="auto" w:fill="auto"/>
            <w:vAlign w:val="center"/>
          </w:tcPr>
          <w:p>
            <w:pPr>
              <w:jc w:val="left"/>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8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97" w:type="dxa"/>
            <w:shd w:val="clear" w:color="auto" w:fill="auto"/>
            <w:vAlign w:val="center"/>
          </w:tcPr>
          <w:p>
            <w:pPr>
              <w:jc w:val="center"/>
              <w:rPr>
                <w:rFonts w:hint="eastAsia" w:ascii="仿宋_GB2312" w:hAnsi="仿宋"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vMerge w:val="restart"/>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2</w:t>
            </w:r>
          </w:p>
        </w:tc>
        <w:tc>
          <w:tcPr>
            <w:tcW w:w="497" w:type="dxa"/>
            <w:vMerge w:val="restart"/>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教育概况</w:t>
            </w:r>
          </w:p>
        </w:tc>
        <w:tc>
          <w:tcPr>
            <w:tcW w:w="828"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教育事业发展主要情况</w:t>
            </w:r>
          </w:p>
        </w:tc>
        <w:tc>
          <w:tcPr>
            <w:tcW w:w="2152"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教育事业发展主要情况</w:t>
            </w:r>
          </w:p>
        </w:tc>
        <w:tc>
          <w:tcPr>
            <w:tcW w:w="2015"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《统计法》、《政府信息公开条例》、《教育统计管理规定》</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1290" w:type="dxa"/>
            <w:shd w:val="clear" w:color="auto" w:fill="auto"/>
            <w:vAlign w:val="center"/>
          </w:tcPr>
          <w:p>
            <w:pPr>
              <w:jc w:val="left"/>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8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97" w:type="dxa"/>
            <w:shd w:val="clear" w:color="auto" w:fill="auto"/>
            <w:vAlign w:val="center"/>
          </w:tcPr>
          <w:p>
            <w:pPr>
              <w:jc w:val="center"/>
              <w:rPr>
                <w:rFonts w:hint="eastAsia" w:ascii="仿宋_GB2312" w:hAnsi="仿宋"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vMerge w:val="continue"/>
            <w:shd w:val="clear" w:color="auto" w:fill="auto"/>
            <w:vAlign w:val="center"/>
          </w:tcPr>
          <w:p>
            <w:pPr>
              <w:rPr>
                <w:rFonts w:hint="eastAsia" w:ascii="仿宋_GB2312" w:hAnsi="宋体" w:eastAsia="仿宋_GB2312" w:cs="宋体"/>
                <w:color w:val="000000"/>
                <w:sz w:val="18"/>
                <w:szCs w:val="18"/>
              </w:rPr>
            </w:pPr>
          </w:p>
        </w:tc>
        <w:tc>
          <w:tcPr>
            <w:tcW w:w="497" w:type="dxa"/>
            <w:vMerge w:val="continue"/>
            <w:shd w:val="clear" w:color="auto" w:fill="auto"/>
            <w:vAlign w:val="center"/>
          </w:tcPr>
          <w:p>
            <w:pPr>
              <w:rPr>
                <w:rFonts w:hint="eastAsia" w:ascii="仿宋_GB2312" w:hAnsi="宋体" w:eastAsia="仿宋_GB2312" w:cs="宋体"/>
                <w:color w:val="000000"/>
                <w:sz w:val="18"/>
                <w:szCs w:val="18"/>
              </w:rPr>
            </w:pPr>
          </w:p>
        </w:tc>
        <w:tc>
          <w:tcPr>
            <w:tcW w:w="828"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义务教育学校名录</w:t>
            </w:r>
          </w:p>
        </w:tc>
        <w:tc>
          <w:tcPr>
            <w:tcW w:w="2152"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学校名称、学校地址、办学层次、办学类型、办公电话</w:t>
            </w:r>
          </w:p>
        </w:tc>
        <w:tc>
          <w:tcPr>
            <w:tcW w:w="2015"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《政府信息公开条例》</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1290" w:type="dxa"/>
            <w:shd w:val="clear" w:color="auto" w:fill="auto"/>
            <w:vAlign w:val="center"/>
          </w:tcPr>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8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97" w:type="dxa"/>
            <w:shd w:val="clear" w:color="auto" w:fill="auto"/>
            <w:vAlign w:val="center"/>
          </w:tcPr>
          <w:p>
            <w:pPr>
              <w:jc w:val="center"/>
              <w:rPr>
                <w:rFonts w:hint="eastAsia" w:ascii="仿宋_GB2312" w:hAnsi="仿宋"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Height w:val="2088" w:hRule="atLeast"/>
        </w:trPr>
        <w:tc>
          <w:tcPr>
            <w:tcW w:w="497" w:type="dxa"/>
            <w:vMerge w:val="restart"/>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3</w:t>
            </w:r>
          </w:p>
        </w:tc>
        <w:tc>
          <w:tcPr>
            <w:tcW w:w="497" w:type="dxa"/>
            <w:vMerge w:val="restart"/>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民办学校信息</w:t>
            </w:r>
          </w:p>
        </w:tc>
        <w:tc>
          <w:tcPr>
            <w:tcW w:w="828"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民办学校办学基本信息</w:t>
            </w:r>
          </w:p>
        </w:tc>
        <w:tc>
          <w:tcPr>
            <w:tcW w:w="2152"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学校名称</w:t>
            </w:r>
            <w:r>
              <w:rPr>
                <w:rFonts w:hint="eastAsia" w:ascii="仿宋_GB2312" w:hAnsi="宋体" w:eastAsia="仿宋_GB2312"/>
                <w:color w:val="000000"/>
                <w:sz w:val="18"/>
                <w:szCs w:val="18"/>
                <w:lang w:eastAsia="zh-CN"/>
              </w:rPr>
              <w:t>、</w:t>
            </w:r>
            <w:r>
              <w:rPr>
                <w:rFonts w:hint="eastAsia" w:ascii="仿宋_GB2312" w:hAnsi="宋体" w:eastAsia="仿宋_GB2312"/>
                <w:color w:val="000000"/>
                <w:sz w:val="18"/>
                <w:szCs w:val="18"/>
              </w:rPr>
              <w:t>办学许可证、办学规模、联系方式</w:t>
            </w:r>
          </w:p>
        </w:tc>
        <w:tc>
          <w:tcPr>
            <w:tcW w:w="2015" w:type="dxa"/>
            <w:vMerge w:val="restart"/>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《民办教育促进法》、《政府信息公开条例》、《国务院关于鼓励社会力量兴办教育 促进民办教育健康发展的若干意见》</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1290" w:type="dxa"/>
            <w:shd w:val="clear" w:color="auto" w:fill="auto"/>
            <w:vAlign w:val="center"/>
          </w:tcPr>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■政府网站</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8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eastAsia="仿宋_GB2312"/>
                <w:color w:val="000000"/>
                <w:sz w:val="18"/>
                <w:szCs w:val="18"/>
              </w:rPr>
              <w:t>　</w:t>
            </w:r>
          </w:p>
        </w:tc>
        <w:tc>
          <w:tcPr>
            <w:tcW w:w="797" w:type="dxa"/>
            <w:shd w:val="clear" w:color="auto" w:fill="auto"/>
            <w:vAlign w:val="center"/>
          </w:tcPr>
          <w:p>
            <w:pPr>
              <w:jc w:val="center"/>
              <w:rPr>
                <w:rFonts w:hint="eastAsia" w:ascii="仿宋_GB2312"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vMerge w:val="continue"/>
            <w:shd w:val="clear" w:color="auto" w:fill="auto"/>
            <w:vAlign w:val="center"/>
          </w:tcPr>
          <w:p>
            <w:pPr>
              <w:rPr>
                <w:rFonts w:hint="eastAsia" w:ascii="仿宋_GB2312" w:hAnsi="宋体" w:eastAsia="仿宋_GB2312" w:cs="宋体"/>
                <w:color w:val="000000"/>
                <w:sz w:val="18"/>
                <w:szCs w:val="18"/>
              </w:rPr>
            </w:pPr>
          </w:p>
        </w:tc>
        <w:tc>
          <w:tcPr>
            <w:tcW w:w="497" w:type="dxa"/>
            <w:vMerge w:val="continue"/>
            <w:shd w:val="clear" w:color="auto" w:fill="auto"/>
            <w:vAlign w:val="center"/>
          </w:tcPr>
          <w:p>
            <w:pPr>
              <w:rPr>
                <w:rFonts w:hint="eastAsia" w:ascii="仿宋_GB2312" w:hAnsi="宋体" w:eastAsia="仿宋_GB2312" w:cs="宋体"/>
                <w:color w:val="000000"/>
                <w:sz w:val="18"/>
                <w:szCs w:val="18"/>
              </w:rPr>
            </w:pPr>
          </w:p>
        </w:tc>
        <w:tc>
          <w:tcPr>
            <w:tcW w:w="828"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民办学校设立、变更、终止等事项行政审批、备案信息</w:t>
            </w:r>
          </w:p>
        </w:tc>
        <w:tc>
          <w:tcPr>
            <w:tcW w:w="2152"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法律依据、办理流程、审批结果</w:t>
            </w:r>
          </w:p>
        </w:tc>
        <w:tc>
          <w:tcPr>
            <w:tcW w:w="2015" w:type="dxa"/>
            <w:vMerge w:val="continue"/>
            <w:shd w:val="clear" w:color="auto" w:fill="auto"/>
            <w:vAlign w:val="center"/>
          </w:tcPr>
          <w:p>
            <w:pPr>
              <w:rPr>
                <w:rFonts w:hint="eastAsia" w:ascii="仿宋_GB2312" w:hAnsi="宋体" w:eastAsia="仿宋_GB2312" w:cs="宋体"/>
                <w:color w:val="000000"/>
                <w:sz w:val="18"/>
                <w:szCs w:val="18"/>
              </w:rPr>
            </w:pP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1290" w:type="dxa"/>
            <w:shd w:val="clear" w:color="auto" w:fill="auto"/>
            <w:vAlign w:val="center"/>
          </w:tcPr>
          <w:p>
            <w:pPr>
              <w:jc w:val="left"/>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8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97" w:type="dxa"/>
            <w:shd w:val="clear" w:color="auto" w:fill="auto"/>
            <w:vAlign w:val="center"/>
          </w:tcPr>
          <w:p>
            <w:pPr>
              <w:jc w:val="center"/>
              <w:rPr>
                <w:rFonts w:hint="eastAsia" w:ascii="仿宋_GB2312" w:hAnsi="仿宋"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vMerge w:val="continue"/>
            <w:shd w:val="clear" w:color="auto" w:fill="auto"/>
            <w:vAlign w:val="center"/>
          </w:tcPr>
          <w:p>
            <w:pPr>
              <w:rPr>
                <w:rFonts w:hint="eastAsia" w:ascii="仿宋_GB2312" w:hAnsi="宋体" w:eastAsia="仿宋_GB2312" w:cs="宋体"/>
                <w:color w:val="000000"/>
                <w:sz w:val="18"/>
                <w:szCs w:val="18"/>
              </w:rPr>
            </w:pPr>
          </w:p>
        </w:tc>
        <w:tc>
          <w:tcPr>
            <w:tcW w:w="497" w:type="dxa"/>
            <w:vMerge w:val="continue"/>
            <w:shd w:val="clear" w:color="auto" w:fill="auto"/>
            <w:vAlign w:val="center"/>
          </w:tcPr>
          <w:p>
            <w:pPr>
              <w:rPr>
                <w:rFonts w:hint="eastAsia" w:ascii="仿宋_GB2312" w:hAnsi="宋体" w:eastAsia="仿宋_GB2312" w:cs="宋体"/>
                <w:color w:val="000000"/>
                <w:sz w:val="18"/>
                <w:szCs w:val="18"/>
              </w:rPr>
            </w:pPr>
          </w:p>
        </w:tc>
        <w:tc>
          <w:tcPr>
            <w:tcW w:w="828"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日常监管信息</w:t>
            </w:r>
          </w:p>
        </w:tc>
        <w:tc>
          <w:tcPr>
            <w:tcW w:w="2152"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年检指标、年检程序、年检结果、行政处罚信息</w:t>
            </w:r>
          </w:p>
        </w:tc>
        <w:tc>
          <w:tcPr>
            <w:tcW w:w="2015" w:type="dxa"/>
            <w:vMerge w:val="continue"/>
            <w:shd w:val="clear" w:color="auto" w:fill="auto"/>
            <w:vAlign w:val="center"/>
          </w:tcPr>
          <w:p>
            <w:pPr>
              <w:rPr>
                <w:rFonts w:hint="eastAsia" w:ascii="仿宋_GB2312" w:hAnsi="宋体" w:eastAsia="仿宋_GB2312" w:cs="宋体"/>
                <w:color w:val="000000"/>
                <w:sz w:val="18"/>
                <w:szCs w:val="18"/>
              </w:rPr>
            </w:pP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1290" w:type="dxa"/>
            <w:shd w:val="clear" w:color="auto" w:fill="auto"/>
            <w:vAlign w:val="center"/>
          </w:tcPr>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■政府网站</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8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97" w:type="dxa"/>
            <w:shd w:val="clear" w:color="auto" w:fill="auto"/>
            <w:vAlign w:val="center"/>
          </w:tcPr>
          <w:p>
            <w:pPr>
              <w:jc w:val="center"/>
              <w:rPr>
                <w:rFonts w:hint="eastAsia" w:ascii="仿宋_GB2312" w:hAnsi="仿宋"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4</w:t>
            </w:r>
          </w:p>
        </w:tc>
        <w:tc>
          <w:tcPr>
            <w:tcW w:w="497"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财务信息</w:t>
            </w:r>
          </w:p>
        </w:tc>
        <w:tc>
          <w:tcPr>
            <w:tcW w:w="828"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财务信息</w:t>
            </w:r>
          </w:p>
        </w:tc>
        <w:tc>
          <w:tcPr>
            <w:tcW w:w="2152" w:type="dxa"/>
            <w:shd w:val="clear" w:color="auto" w:fill="auto"/>
            <w:vAlign w:val="center"/>
          </w:tcPr>
          <w:p>
            <w:pPr>
              <w:jc w:val="left"/>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财务管理及监督办法、</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年度经费预决算信息</w:t>
            </w:r>
          </w:p>
        </w:tc>
        <w:tc>
          <w:tcPr>
            <w:tcW w:w="2015"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《政府信息公开条例》</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sz w:val="18"/>
                <w:szCs w:val="18"/>
              </w:rPr>
            </w:pPr>
            <w:r>
              <w:rPr>
                <w:rFonts w:hint="eastAsia" w:ascii="仿宋_GB2312" w:hAnsi="仿宋" w:eastAsia="仿宋_GB2312"/>
                <w:sz w:val="18"/>
                <w:szCs w:val="18"/>
              </w:rPr>
              <w:t>县级、乡级教育部门</w:t>
            </w:r>
          </w:p>
        </w:tc>
        <w:tc>
          <w:tcPr>
            <w:tcW w:w="1290" w:type="dxa"/>
            <w:shd w:val="clear" w:color="auto" w:fill="auto"/>
            <w:vAlign w:val="center"/>
          </w:tcPr>
          <w:p>
            <w:pPr>
              <w:jc w:val="left"/>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8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97" w:type="dxa"/>
            <w:shd w:val="clear" w:color="auto" w:fill="auto"/>
            <w:vAlign w:val="center"/>
          </w:tcPr>
          <w:p>
            <w:pPr>
              <w:jc w:val="center"/>
              <w:rPr>
                <w:rFonts w:hint="eastAsia" w:ascii="仿宋_GB2312" w:hAnsi="仿宋"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vMerge w:val="restart"/>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5</w:t>
            </w:r>
          </w:p>
        </w:tc>
        <w:tc>
          <w:tcPr>
            <w:tcW w:w="497" w:type="dxa"/>
            <w:vMerge w:val="restart"/>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sz w:val="18"/>
                <w:szCs w:val="18"/>
              </w:rPr>
              <w:t>招生管理</w:t>
            </w:r>
          </w:p>
        </w:tc>
        <w:tc>
          <w:tcPr>
            <w:tcW w:w="828" w:type="dxa"/>
            <w:shd w:val="clear" w:color="auto" w:fill="auto"/>
            <w:vAlign w:val="center"/>
          </w:tcPr>
          <w:p>
            <w:pPr>
              <w:rPr>
                <w:rFonts w:hint="eastAsia" w:ascii="仿宋_GB2312" w:hAnsi="宋体" w:eastAsia="仿宋_GB2312" w:cs="宋体"/>
                <w:sz w:val="18"/>
                <w:szCs w:val="18"/>
              </w:rPr>
            </w:pPr>
            <w:r>
              <w:rPr>
                <w:rFonts w:hint="eastAsia" w:ascii="仿宋_GB2312" w:hAnsi="宋体" w:eastAsia="仿宋_GB2312"/>
                <w:sz w:val="18"/>
                <w:szCs w:val="18"/>
              </w:rPr>
              <w:t>学校介绍</w:t>
            </w:r>
          </w:p>
        </w:tc>
        <w:tc>
          <w:tcPr>
            <w:tcW w:w="2152" w:type="dxa"/>
            <w:shd w:val="clear" w:color="auto" w:fill="auto"/>
            <w:vAlign w:val="center"/>
          </w:tcPr>
          <w:p>
            <w:pPr>
              <w:rPr>
                <w:rFonts w:hint="eastAsia" w:ascii="仿宋_GB2312" w:hAnsi="宋体" w:eastAsia="仿宋_GB2312" w:cs="宋体"/>
                <w:sz w:val="18"/>
                <w:szCs w:val="18"/>
              </w:rPr>
            </w:pPr>
            <w:r>
              <w:rPr>
                <w:rFonts w:hint="eastAsia" w:ascii="仿宋_GB2312" w:hAnsi="宋体" w:eastAsia="仿宋_GB2312"/>
                <w:sz w:val="18"/>
                <w:szCs w:val="18"/>
              </w:rPr>
              <w:t>办学性质、办学地点、办学规模、办学基本条件、联系方式等</w:t>
            </w:r>
          </w:p>
        </w:tc>
        <w:tc>
          <w:tcPr>
            <w:tcW w:w="2015" w:type="dxa"/>
            <w:vMerge w:val="restart"/>
            <w:shd w:val="clear" w:color="auto" w:fill="auto"/>
            <w:vAlign w:val="center"/>
          </w:tcPr>
          <w:p>
            <w:pPr>
              <w:rPr>
                <w:rFonts w:hint="eastAsia" w:ascii="仿宋_GB2312" w:hAnsi="宋体" w:eastAsia="仿宋_GB2312" w:cs="宋体"/>
                <w:sz w:val="18"/>
                <w:szCs w:val="18"/>
              </w:rPr>
            </w:pPr>
            <w:r>
              <w:rPr>
                <w:rFonts w:hint="eastAsia" w:ascii="仿宋_GB2312" w:hAnsi="宋体" w:eastAsia="仿宋_GB2312"/>
                <w:sz w:val="18"/>
                <w:szCs w:val="18"/>
              </w:rPr>
              <w:t>《政府信息公开条例》、《教育部关于进一步做好小学升入初中免试就近入学工作的实施意见》、《教育部关于推进中小学信息公开工作的意见》</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sz w:val="18"/>
                <w:szCs w:val="18"/>
              </w:rPr>
            </w:pPr>
            <w:r>
              <w:rPr>
                <w:rFonts w:hint="eastAsia" w:ascii="仿宋_GB2312" w:hAnsi="仿宋" w:eastAsia="仿宋_GB2312"/>
                <w:sz w:val="18"/>
                <w:szCs w:val="18"/>
              </w:rPr>
              <w:t>县级、乡级教育部门</w:t>
            </w:r>
          </w:p>
        </w:tc>
        <w:tc>
          <w:tcPr>
            <w:tcW w:w="1290" w:type="dxa"/>
            <w:shd w:val="clear" w:color="auto" w:fill="auto"/>
            <w:vAlign w:val="center"/>
          </w:tcPr>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80"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　</w:t>
            </w:r>
          </w:p>
        </w:tc>
        <w:tc>
          <w:tcPr>
            <w:tcW w:w="585"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900"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　</w:t>
            </w:r>
          </w:p>
        </w:tc>
        <w:tc>
          <w:tcPr>
            <w:tcW w:w="555"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885"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97" w:type="dxa"/>
            <w:shd w:val="clear" w:color="auto" w:fill="auto"/>
            <w:vAlign w:val="center"/>
          </w:tcPr>
          <w:p>
            <w:pPr>
              <w:jc w:val="center"/>
              <w:rPr>
                <w:rFonts w:hint="eastAsia" w:ascii="仿宋_GB2312" w:hAnsi="仿宋"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vMerge w:val="continue"/>
            <w:shd w:val="clear" w:color="auto" w:fill="auto"/>
            <w:vAlign w:val="center"/>
          </w:tcPr>
          <w:p>
            <w:pPr>
              <w:rPr>
                <w:rFonts w:hint="eastAsia" w:ascii="仿宋_GB2312" w:hAnsi="宋体" w:eastAsia="仿宋_GB2312" w:cs="宋体"/>
                <w:color w:val="000000"/>
                <w:sz w:val="18"/>
                <w:szCs w:val="18"/>
              </w:rPr>
            </w:pPr>
          </w:p>
        </w:tc>
        <w:tc>
          <w:tcPr>
            <w:tcW w:w="497" w:type="dxa"/>
            <w:vMerge w:val="continue"/>
            <w:shd w:val="clear" w:color="auto" w:fill="auto"/>
            <w:vAlign w:val="center"/>
          </w:tcPr>
          <w:p>
            <w:pPr>
              <w:rPr>
                <w:rFonts w:hint="eastAsia" w:ascii="仿宋_GB2312" w:hAnsi="宋体" w:eastAsia="仿宋_GB2312" w:cs="宋体"/>
                <w:sz w:val="18"/>
                <w:szCs w:val="18"/>
              </w:rPr>
            </w:pPr>
          </w:p>
        </w:tc>
        <w:tc>
          <w:tcPr>
            <w:tcW w:w="828" w:type="dxa"/>
            <w:shd w:val="clear" w:color="auto" w:fill="auto"/>
            <w:vAlign w:val="center"/>
          </w:tcPr>
          <w:p>
            <w:pPr>
              <w:rPr>
                <w:rFonts w:hint="eastAsia" w:ascii="仿宋_GB2312" w:hAnsi="宋体" w:eastAsia="仿宋_GB2312"/>
                <w:sz w:val="18"/>
                <w:szCs w:val="18"/>
              </w:rPr>
            </w:pPr>
            <w:r>
              <w:rPr>
                <w:rFonts w:hint="eastAsia" w:ascii="仿宋_GB2312" w:hAnsi="宋体" w:eastAsia="仿宋_GB2312"/>
                <w:sz w:val="18"/>
                <w:szCs w:val="18"/>
              </w:rPr>
              <w:t>招生政策</w:t>
            </w:r>
          </w:p>
        </w:tc>
        <w:tc>
          <w:tcPr>
            <w:tcW w:w="2152" w:type="dxa"/>
            <w:shd w:val="clear" w:color="auto" w:fill="auto"/>
            <w:vAlign w:val="center"/>
          </w:tcPr>
          <w:p>
            <w:pPr>
              <w:rPr>
                <w:rFonts w:hint="eastAsia" w:ascii="仿宋_GB2312" w:hAnsi="宋体" w:eastAsia="仿宋_GB2312" w:cs="宋体"/>
                <w:sz w:val="18"/>
                <w:szCs w:val="18"/>
              </w:rPr>
            </w:pPr>
            <w:r>
              <w:rPr>
                <w:rFonts w:hint="eastAsia" w:ascii="仿宋_GB2312" w:hAnsi="宋体" w:eastAsia="仿宋_GB2312"/>
                <w:sz w:val="18"/>
                <w:szCs w:val="18"/>
              </w:rPr>
              <w:t>随迁子女入学办法；部分适龄儿童或少年延缓入学、休学等特殊需求的政策解读等</w:t>
            </w:r>
          </w:p>
        </w:tc>
        <w:tc>
          <w:tcPr>
            <w:tcW w:w="2015" w:type="dxa"/>
            <w:vMerge w:val="continue"/>
            <w:shd w:val="clear" w:color="auto" w:fill="auto"/>
            <w:vAlign w:val="center"/>
          </w:tcPr>
          <w:p>
            <w:pPr>
              <w:rPr>
                <w:rFonts w:hint="eastAsia" w:ascii="仿宋_GB2312" w:hAnsi="宋体" w:eastAsia="仿宋_GB2312" w:cs="宋体"/>
                <w:sz w:val="18"/>
                <w:szCs w:val="18"/>
              </w:rPr>
            </w:pP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sz w:val="18"/>
                <w:szCs w:val="18"/>
              </w:rPr>
            </w:pPr>
            <w:r>
              <w:rPr>
                <w:rFonts w:hint="eastAsia" w:ascii="仿宋_GB2312" w:hAnsi="仿宋" w:eastAsia="仿宋_GB2312"/>
                <w:sz w:val="18"/>
                <w:szCs w:val="18"/>
              </w:rPr>
              <w:t>县（市、区）教育部门</w:t>
            </w:r>
          </w:p>
        </w:tc>
        <w:tc>
          <w:tcPr>
            <w:tcW w:w="1290" w:type="dxa"/>
            <w:shd w:val="clear" w:color="auto" w:fill="auto"/>
            <w:vAlign w:val="center"/>
          </w:tcPr>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80"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　</w:t>
            </w:r>
          </w:p>
        </w:tc>
        <w:tc>
          <w:tcPr>
            <w:tcW w:w="585"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900"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　</w:t>
            </w:r>
          </w:p>
        </w:tc>
        <w:tc>
          <w:tcPr>
            <w:tcW w:w="555"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885" w:type="dxa"/>
            <w:shd w:val="clear" w:color="auto" w:fill="auto"/>
            <w:vAlign w:val="center"/>
          </w:tcPr>
          <w:p>
            <w:pPr>
              <w:jc w:val="center"/>
              <w:rPr>
                <w:rFonts w:hint="eastAsia" w:ascii="仿宋_GB2312" w:hAnsi="Times New Roman" w:eastAsia="仿宋_GB2312"/>
                <w:sz w:val="18"/>
                <w:szCs w:val="18"/>
              </w:rPr>
            </w:pPr>
            <w:r>
              <w:rPr>
                <w:rFonts w:hint="eastAsia" w:ascii="仿宋_GB2312" w:hAnsi="Times New Roman" w:eastAsia="仿宋_GB2312"/>
                <w:sz w:val="18"/>
                <w:szCs w:val="18"/>
              </w:rPr>
              <w:t>　</w:t>
            </w:r>
          </w:p>
        </w:tc>
        <w:tc>
          <w:tcPr>
            <w:tcW w:w="797" w:type="dxa"/>
            <w:shd w:val="clear" w:color="auto" w:fill="auto"/>
            <w:vAlign w:val="center"/>
          </w:tcPr>
          <w:p>
            <w:pPr>
              <w:jc w:val="center"/>
              <w:rPr>
                <w:rFonts w:hint="eastAsia" w:ascii="仿宋_GB2312"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5</w:t>
            </w:r>
          </w:p>
        </w:tc>
        <w:tc>
          <w:tcPr>
            <w:tcW w:w="49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sz w:val="18"/>
                <w:szCs w:val="18"/>
              </w:rPr>
              <w:t>招生管理</w:t>
            </w:r>
          </w:p>
        </w:tc>
        <w:tc>
          <w:tcPr>
            <w:tcW w:w="828" w:type="dxa"/>
            <w:shd w:val="clear" w:color="auto" w:fill="auto"/>
            <w:vAlign w:val="center"/>
          </w:tcPr>
          <w:p>
            <w:pPr>
              <w:rPr>
                <w:rFonts w:hint="eastAsia" w:ascii="仿宋_GB2312" w:hAnsi="宋体" w:eastAsia="仿宋_GB2312"/>
                <w:sz w:val="18"/>
                <w:szCs w:val="18"/>
              </w:rPr>
            </w:pPr>
            <w:r>
              <w:rPr>
                <w:rFonts w:hint="eastAsia" w:ascii="仿宋_GB2312" w:hAnsi="宋体" w:eastAsia="仿宋_GB2312"/>
                <w:sz w:val="18"/>
                <w:szCs w:val="18"/>
              </w:rPr>
              <w:t>招生计划</w:t>
            </w:r>
          </w:p>
        </w:tc>
        <w:tc>
          <w:tcPr>
            <w:tcW w:w="2152" w:type="dxa"/>
            <w:shd w:val="clear" w:color="auto" w:fill="auto"/>
            <w:vAlign w:val="center"/>
          </w:tcPr>
          <w:p>
            <w:pPr>
              <w:rPr>
                <w:rFonts w:hint="eastAsia" w:ascii="仿宋_GB2312" w:hAnsi="宋体" w:eastAsia="仿宋_GB2312" w:cs="宋体"/>
                <w:sz w:val="18"/>
                <w:szCs w:val="18"/>
              </w:rPr>
            </w:pPr>
            <w:r>
              <w:rPr>
                <w:rFonts w:hint="eastAsia" w:ascii="仿宋_GB2312" w:hAnsi="宋体" w:eastAsia="仿宋_GB2312"/>
                <w:sz w:val="18"/>
                <w:szCs w:val="18"/>
              </w:rPr>
              <w:t>各校本年度招生计划</w:t>
            </w:r>
          </w:p>
        </w:tc>
        <w:tc>
          <w:tcPr>
            <w:tcW w:w="2015" w:type="dxa"/>
            <w:shd w:val="clear" w:color="auto" w:fill="auto"/>
            <w:vAlign w:val="center"/>
          </w:tcPr>
          <w:p>
            <w:pPr>
              <w:rPr>
                <w:rFonts w:hint="eastAsia" w:ascii="仿宋_GB2312" w:hAnsi="宋体" w:eastAsia="仿宋_GB2312" w:cs="宋体"/>
                <w:sz w:val="18"/>
                <w:szCs w:val="18"/>
              </w:rPr>
            </w:pPr>
            <w:r>
              <w:rPr>
                <w:rFonts w:hint="eastAsia" w:ascii="仿宋_GB2312" w:hAnsi="宋体" w:eastAsia="仿宋_GB2312"/>
                <w:sz w:val="18"/>
                <w:szCs w:val="18"/>
              </w:rPr>
              <w:t>《政府信息公开条例》、《教育部关于进一步做好小学升入初中免试就近入学工作的实施意见》《教育部关于推进中小学信息公开工作的意见》</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sz w:val="18"/>
                <w:szCs w:val="18"/>
              </w:rPr>
            </w:pPr>
            <w:r>
              <w:rPr>
                <w:rFonts w:hint="eastAsia" w:ascii="仿宋_GB2312" w:hAnsi="仿宋" w:eastAsia="仿宋_GB2312"/>
                <w:sz w:val="18"/>
                <w:szCs w:val="18"/>
              </w:rPr>
              <w:t>县（市、区）教育部门</w:t>
            </w:r>
          </w:p>
        </w:tc>
        <w:tc>
          <w:tcPr>
            <w:tcW w:w="1290" w:type="dxa"/>
            <w:shd w:val="clear" w:color="auto" w:fill="auto"/>
            <w:vAlign w:val="center"/>
          </w:tcPr>
          <w:p>
            <w:pPr>
              <w:rPr>
                <w:rFonts w:hint="eastAsia" w:ascii="仿宋_GB2312" w:hAnsi="仿宋" w:eastAsia="仿宋_GB2312"/>
                <w:color w:val="FF0000"/>
                <w:sz w:val="18"/>
                <w:szCs w:val="18"/>
              </w:rPr>
            </w:pPr>
            <w:r>
              <w:rPr>
                <w:rFonts w:hint="eastAsia" w:ascii="仿宋_GB2312" w:hAnsi="仿宋" w:eastAsia="仿宋_GB2312"/>
                <w:color w:val="FF0000"/>
                <w:sz w:val="18"/>
                <w:szCs w:val="18"/>
              </w:rPr>
              <w:t xml:space="preserve">■政府网站  </w:t>
            </w:r>
          </w:p>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■社区/企事业单位/村公示栏（电子屏）  </w:t>
            </w:r>
          </w:p>
        </w:tc>
        <w:tc>
          <w:tcPr>
            <w:tcW w:w="795"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80"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　</w:t>
            </w:r>
          </w:p>
        </w:tc>
        <w:tc>
          <w:tcPr>
            <w:tcW w:w="585"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900"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　</w:t>
            </w:r>
          </w:p>
        </w:tc>
        <w:tc>
          <w:tcPr>
            <w:tcW w:w="555"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885" w:type="dxa"/>
            <w:shd w:val="clear" w:color="auto" w:fill="auto"/>
            <w:vAlign w:val="center"/>
          </w:tcPr>
          <w:p>
            <w:pPr>
              <w:jc w:val="center"/>
              <w:rPr>
                <w:rFonts w:hint="eastAsia" w:ascii="仿宋_GB2312" w:hAnsi="Times New Roman" w:eastAsia="仿宋_GB2312"/>
                <w:sz w:val="18"/>
                <w:szCs w:val="18"/>
              </w:rPr>
            </w:pPr>
            <w:r>
              <w:rPr>
                <w:rFonts w:hint="eastAsia" w:ascii="仿宋_GB2312" w:hAnsi="Times New Roman" w:eastAsia="仿宋_GB2312"/>
                <w:sz w:val="18"/>
                <w:szCs w:val="18"/>
              </w:rPr>
              <w:t>　</w:t>
            </w:r>
          </w:p>
        </w:tc>
        <w:tc>
          <w:tcPr>
            <w:tcW w:w="797" w:type="dxa"/>
            <w:shd w:val="clear" w:color="auto" w:fill="auto"/>
            <w:vAlign w:val="center"/>
          </w:tcPr>
          <w:p>
            <w:pPr>
              <w:jc w:val="center"/>
              <w:rPr>
                <w:rFonts w:hint="eastAsia" w:ascii="仿宋_GB2312"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vMerge w:val="restart"/>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6</w:t>
            </w:r>
          </w:p>
        </w:tc>
        <w:tc>
          <w:tcPr>
            <w:tcW w:w="497" w:type="dxa"/>
            <w:vMerge w:val="restart"/>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sz w:val="18"/>
                <w:szCs w:val="18"/>
              </w:rPr>
              <w:t>学生管理</w:t>
            </w:r>
          </w:p>
        </w:tc>
        <w:tc>
          <w:tcPr>
            <w:tcW w:w="828" w:type="dxa"/>
            <w:shd w:val="clear" w:color="auto" w:fill="auto"/>
            <w:vAlign w:val="center"/>
          </w:tcPr>
          <w:p>
            <w:pPr>
              <w:rPr>
                <w:rFonts w:hint="eastAsia" w:ascii="仿宋_GB2312" w:hAnsi="宋体" w:eastAsia="仿宋_GB2312"/>
                <w:sz w:val="18"/>
                <w:szCs w:val="18"/>
              </w:rPr>
            </w:pPr>
            <w:r>
              <w:rPr>
                <w:rFonts w:hint="eastAsia" w:ascii="仿宋_GB2312" w:hAnsi="宋体" w:eastAsia="仿宋_GB2312"/>
                <w:sz w:val="18"/>
                <w:szCs w:val="18"/>
              </w:rPr>
              <w:t>学籍管理</w:t>
            </w:r>
          </w:p>
        </w:tc>
        <w:tc>
          <w:tcPr>
            <w:tcW w:w="2152" w:type="dxa"/>
            <w:shd w:val="clear" w:color="auto" w:fill="auto"/>
            <w:vAlign w:val="center"/>
          </w:tcPr>
          <w:p>
            <w:pPr>
              <w:rPr>
                <w:rFonts w:hint="eastAsia" w:ascii="仿宋_GB2312" w:hAnsi="宋体" w:eastAsia="仿宋_GB2312" w:cs="宋体"/>
                <w:sz w:val="18"/>
                <w:szCs w:val="18"/>
              </w:rPr>
            </w:pPr>
            <w:r>
              <w:rPr>
                <w:rFonts w:hint="eastAsia" w:ascii="仿宋_GB2312" w:hAnsi="宋体" w:eastAsia="仿宋_GB2312"/>
                <w:sz w:val="18"/>
                <w:szCs w:val="18"/>
              </w:rPr>
              <w:t>区域内义务教育阶段学生休学、复学、转学相关政策及所需材料和办理流程；适龄儿童延缓入学所需材料及办理流程；学籍证明、毕（结）业证书遗失办理学历证明确认</w:t>
            </w:r>
          </w:p>
        </w:tc>
        <w:tc>
          <w:tcPr>
            <w:tcW w:w="2015" w:type="dxa"/>
            <w:shd w:val="clear" w:color="auto" w:fill="auto"/>
            <w:vAlign w:val="center"/>
          </w:tcPr>
          <w:p>
            <w:pPr>
              <w:rPr>
                <w:rFonts w:hint="eastAsia" w:ascii="仿宋_GB2312" w:hAnsi="宋体" w:eastAsia="仿宋_GB2312" w:cs="宋体"/>
                <w:sz w:val="18"/>
                <w:szCs w:val="18"/>
              </w:rPr>
            </w:pPr>
            <w:r>
              <w:rPr>
                <w:rFonts w:hint="eastAsia" w:ascii="仿宋_GB2312" w:hAnsi="宋体" w:eastAsia="仿宋_GB2312"/>
                <w:sz w:val="18"/>
                <w:szCs w:val="18"/>
              </w:rPr>
              <w:t>《义务教育法》、《政府信息公开条例》、《中小学生学籍管理办法》</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sz w:val="18"/>
                <w:szCs w:val="18"/>
              </w:rPr>
            </w:pPr>
            <w:r>
              <w:rPr>
                <w:rFonts w:hint="eastAsia" w:ascii="仿宋_GB2312" w:hAnsi="仿宋" w:eastAsia="仿宋_GB2312"/>
                <w:sz w:val="18"/>
                <w:szCs w:val="18"/>
              </w:rPr>
              <w:t>县（市、区）教育部门</w:t>
            </w:r>
          </w:p>
        </w:tc>
        <w:tc>
          <w:tcPr>
            <w:tcW w:w="1290" w:type="dxa"/>
            <w:shd w:val="clear" w:color="auto" w:fill="auto"/>
            <w:vAlign w:val="center"/>
          </w:tcPr>
          <w:p>
            <w:pPr>
              <w:rPr>
                <w:rFonts w:hint="eastAsia" w:ascii="仿宋_GB2312" w:hAnsi="仿宋" w:eastAsia="仿宋_GB2312"/>
                <w:color w:val="FF0000"/>
                <w:sz w:val="18"/>
                <w:szCs w:val="18"/>
              </w:rPr>
            </w:pPr>
            <w:r>
              <w:rPr>
                <w:rFonts w:hint="eastAsia" w:ascii="仿宋_GB2312" w:hAnsi="仿宋" w:eastAsia="仿宋_GB2312"/>
                <w:color w:val="FF0000"/>
                <w:sz w:val="18"/>
                <w:szCs w:val="18"/>
              </w:rPr>
              <w:t xml:space="preserve">■政府网站  </w:t>
            </w:r>
          </w:p>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■其他：中小学生学籍管理系统    </w:t>
            </w:r>
          </w:p>
        </w:tc>
        <w:tc>
          <w:tcPr>
            <w:tcW w:w="795"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80" w:type="dxa"/>
            <w:shd w:val="clear" w:color="auto" w:fill="auto"/>
            <w:vAlign w:val="center"/>
          </w:tcPr>
          <w:p>
            <w:pPr>
              <w:rPr>
                <w:rFonts w:hint="eastAsia" w:ascii="仿宋_GB2312" w:hAnsi="仿宋" w:eastAsia="仿宋_GB2312" w:cs="宋体"/>
                <w:sz w:val="18"/>
                <w:szCs w:val="18"/>
              </w:rPr>
            </w:pPr>
            <w:r>
              <w:rPr>
                <w:rFonts w:hint="eastAsia" w:ascii="仿宋_GB2312" w:hAnsi="仿宋" w:eastAsia="仿宋_GB2312"/>
                <w:sz w:val="18"/>
                <w:szCs w:val="18"/>
              </w:rPr>
              <w:t>　</w:t>
            </w:r>
          </w:p>
        </w:tc>
        <w:tc>
          <w:tcPr>
            <w:tcW w:w="585"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900" w:type="dxa"/>
            <w:shd w:val="clear" w:color="auto" w:fill="auto"/>
            <w:vAlign w:val="center"/>
          </w:tcPr>
          <w:p>
            <w:pPr>
              <w:rPr>
                <w:rFonts w:hint="eastAsia" w:ascii="仿宋_GB2312" w:hAnsi="仿宋" w:eastAsia="仿宋_GB2312" w:cs="宋体"/>
                <w:sz w:val="18"/>
                <w:szCs w:val="18"/>
              </w:rPr>
            </w:pPr>
            <w:r>
              <w:rPr>
                <w:rFonts w:hint="eastAsia" w:ascii="仿宋_GB2312" w:hAnsi="仿宋" w:eastAsia="仿宋_GB2312"/>
                <w:sz w:val="18"/>
                <w:szCs w:val="18"/>
              </w:rPr>
              <w:t>　</w:t>
            </w:r>
          </w:p>
        </w:tc>
        <w:tc>
          <w:tcPr>
            <w:tcW w:w="555"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885" w:type="dxa"/>
            <w:shd w:val="clear" w:color="auto" w:fill="auto"/>
            <w:vAlign w:val="center"/>
          </w:tcPr>
          <w:p>
            <w:pPr>
              <w:rPr>
                <w:rFonts w:hint="eastAsia" w:ascii="仿宋_GB2312" w:hAnsi="Times New Roman" w:eastAsia="仿宋_GB2312"/>
                <w:sz w:val="18"/>
                <w:szCs w:val="18"/>
              </w:rPr>
            </w:pPr>
            <w:r>
              <w:rPr>
                <w:rFonts w:hint="eastAsia" w:ascii="仿宋_GB2312" w:hAnsi="Times New Roman" w:eastAsia="仿宋_GB2312"/>
                <w:sz w:val="18"/>
                <w:szCs w:val="18"/>
              </w:rPr>
              <w:t>　</w:t>
            </w:r>
          </w:p>
        </w:tc>
        <w:tc>
          <w:tcPr>
            <w:tcW w:w="797" w:type="dxa"/>
            <w:shd w:val="clear" w:color="auto" w:fill="auto"/>
            <w:vAlign w:val="center"/>
          </w:tcPr>
          <w:p>
            <w:pPr>
              <w:rPr>
                <w:rFonts w:hint="eastAsia" w:ascii="仿宋_GB2312"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vMerge w:val="continue"/>
            <w:shd w:val="clear" w:color="auto" w:fill="auto"/>
            <w:vAlign w:val="center"/>
          </w:tcPr>
          <w:p>
            <w:pPr>
              <w:rPr>
                <w:rFonts w:hint="eastAsia" w:ascii="仿宋_GB2312" w:hAnsi="宋体" w:eastAsia="仿宋_GB2312" w:cs="宋体"/>
                <w:color w:val="000000"/>
                <w:sz w:val="18"/>
                <w:szCs w:val="18"/>
              </w:rPr>
            </w:pPr>
          </w:p>
        </w:tc>
        <w:tc>
          <w:tcPr>
            <w:tcW w:w="497" w:type="dxa"/>
            <w:vMerge w:val="continue"/>
            <w:shd w:val="clear" w:color="auto" w:fill="auto"/>
            <w:vAlign w:val="center"/>
          </w:tcPr>
          <w:p>
            <w:pPr>
              <w:rPr>
                <w:rFonts w:hint="eastAsia" w:ascii="仿宋_GB2312" w:hAnsi="宋体" w:eastAsia="仿宋_GB2312" w:cs="宋体"/>
                <w:sz w:val="18"/>
                <w:szCs w:val="18"/>
              </w:rPr>
            </w:pPr>
          </w:p>
        </w:tc>
        <w:tc>
          <w:tcPr>
            <w:tcW w:w="828" w:type="dxa"/>
            <w:shd w:val="clear" w:color="auto" w:fill="auto"/>
            <w:vAlign w:val="center"/>
          </w:tcPr>
          <w:p>
            <w:pPr>
              <w:rPr>
                <w:rFonts w:hint="eastAsia" w:ascii="仿宋_GB2312" w:hAnsi="宋体" w:eastAsia="仿宋_GB2312"/>
                <w:sz w:val="18"/>
                <w:szCs w:val="18"/>
              </w:rPr>
            </w:pPr>
            <w:r>
              <w:rPr>
                <w:rFonts w:hint="eastAsia" w:ascii="仿宋_GB2312" w:hAnsi="宋体" w:eastAsia="仿宋_GB2312"/>
                <w:sz w:val="18"/>
                <w:szCs w:val="18"/>
              </w:rPr>
              <w:t>义务教育学生资助政策</w:t>
            </w:r>
          </w:p>
        </w:tc>
        <w:tc>
          <w:tcPr>
            <w:tcW w:w="2152"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统一城乡义务教育“两免一补”政策</w:t>
            </w:r>
          </w:p>
        </w:tc>
        <w:tc>
          <w:tcPr>
            <w:tcW w:w="2015"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《政府信息公开条例》、《国务院关于进一步完善城乡义务教育经费保障机制的通知》</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sz w:val="18"/>
                <w:szCs w:val="18"/>
              </w:rPr>
            </w:pPr>
            <w:r>
              <w:rPr>
                <w:rFonts w:hint="eastAsia" w:ascii="仿宋_GB2312" w:hAnsi="仿宋" w:eastAsia="仿宋_GB2312"/>
                <w:sz w:val="18"/>
                <w:szCs w:val="18"/>
              </w:rPr>
              <w:t>县级、乡级教育部门</w:t>
            </w:r>
          </w:p>
        </w:tc>
        <w:tc>
          <w:tcPr>
            <w:tcW w:w="1290" w:type="dxa"/>
            <w:shd w:val="clear" w:color="auto" w:fill="auto"/>
            <w:vAlign w:val="center"/>
          </w:tcPr>
          <w:p>
            <w:pPr>
              <w:rPr>
                <w:rFonts w:hint="eastAsia" w:ascii="仿宋_GB2312" w:hAnsi="仿宋" w:eastAsia="仿宋_GB2312"/>
                <w:color w:val="FF0000"/>
                <w:sz w:val="18"/>
                <w:szCs w:val="18"/>
              </w:rPr>
            </w:pPr>
            <w:r>
              <w:rPr>
                <w:rFonts w:hint="eastAsia" w:ascii="仿宋_GB2312" w:hAnsi="仿宋" w:eastAsia="仿宋_GB2312"/>
                <w:color w:val="FF0000"/>
                <w:sz w:val="18"/>
                <w:szCs w:val="18"/>
              </w:rPr>
              <w:t xml:space="preserve">■政府网站  </w:t>
            </w:r>
          </w:p>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■社区/企事业单位/村公示栏（电子屏）</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8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97" w:type="dxa"/>
            <w:shd w:val="clear" w:color="auto" w:fill="auto"/>
            <w:vAlign w:val="center"/>
          </w:tcPr>
          <w:p>
            <w:pPr>
              <w:jc w:val="center"/>
              <w:rPr>
                <w:rFonts w:hint="eastAsia" w:ascii="仿宋_GB2312" w:hAnsi="仿宋"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vMerge w:val="continue"/>
            <w:shd w:val="clear" w:color="auto" w:fill="auto"/>
            <w:vAlign w:val="center"/>
          </w:tcPr>
          <w:p>
            <w:pPr>
              <w:rPr>
                <w:rFonts w:hint="eastAsia" w:ascii="仿宋_GB2312" w:hAnsi="宋体" w:eastAsia="仿宋_GB2312" w:cs="宋体"/>
                <w:color w:val="000000"/>
                <w:sz w:val="18"/>
                <w:szCs w:val="18"/>
              </w:rPr>
            </w:pPr>
          </w:p>
        </w:tc>
        <w:tc>
          <w:tcPr>
            <w:tcW w:w="497" w:type="dxa"/>
            <w:vMerge w:val="continue"/>
            <w:shd w:val="clear" w:color="auto" w:fill="auto"/>
            <w:vAlign w:val="center"/>
          </w:tcPr>
          <w:p>
            <w:pPr>
              <w:rPr>
                <w:rFonts w:hint="eastAsia" w:ascii="仿宋_GB2312" w:hAnsi="宋体" w:eastAsia="仿宋_GB2312" w:cs="宋体"/>
                <w:sz w:val="18"/>
                <w:szCs w:val="18"/>
              </w:rPr>
            </w:pPr>
          </w:p>
        </w:tc>
        <w:tc>
          <w:tcPr>
            <w:tcW w:w="828" w:type="dxa"/>
            <w:shd w:val="clear" w:color="auto" w:fill="auto"/>
            <w:vAlign w:val="center"/>
          </w:tcPr>
          <w:p>
            <w:pPr>
              <w:rPr>
                <w:rFonts w:hint="eastAsia" w:ascii="仿宋_GB2312" w:hAnsi="宋体" w:eastAsia="仿宋_GB2312"/>
                <w:sz w:val="18"/>
                <w:szCs w:val="18"/>
              </w:rPr>
            </w:pPr>
            <w:r>
              <w:rPr>
                <w:rFonts w:hint="eastAsia" w:ascii="仿宋_GB2312" w:hAnsi="宋体" w:eastAsia="仿宋_GB2312"/>
                <w:sz w:val="18"/>
                <w:szCs w:val="18"/>
              </w:rPr>
              <w:t>学生评优奖励</w:t>
            </w:r>
          </w:p>
        </w:tc>
        <w:tc>
          <w:tcPr>
            <w:tcW w:w="2152" w:type="dxa"/>
            <w:shd w:val="clear" w:color="auto" w:fill="auto"/>
            <w:vAlign w:val="center"/>
          </w:tcPr>
          <w:p>
            <w:pPr>
              <w:rPr>
                <w:rFonts w:hint="eastAsia" w:ascii="仿宋_GB2312" w:hAnsi="宋体" w:eastAsia="仿宋_GB2312" w:cs="宋体"/>
                <w:sz w:val="18"/>
                <w:szCs w:val="18"/>
              </w:rPr>
            </w:pPr>
            <w:r>
              <w:rPr>
                <w:rFonts w:hint="eastAsia" w:ascii="仿宋_GB2312" w:hAnsi="宋体" w:eastAsia="仿宋_GB2312"/>
                <w:sz w:val="18"/>
                <w:szCs w:val="18"/>
              </w:rPr>
              <w:t>省市县“三好学生”“优秀学生干部”评选标准；评比方法；表彰名单等</w:t>
            </w:r>
          </w:p>
        </w:tc>
        <w:tc>
          <w:tcPr>
            <w:tcW w:w="2015" w:type="dxa"/>
            <w:shd w:val="clear" w:color="auto" w:fill="auto"/>
            <w:vAlign w:val="center"/>
          </w:tcPr>
          <w:p>
            <w:pPr>
              <w:rPr>
                <w:rFonts w:hint="eastAsia" w:ascii="仿宋_GB2312" w:hAnsi="宋体" w:eastAsia="仿宋_GB2312" w:cs="宋体"/>
                <w:sz w:val="18"/>
                <w:szCs w:val="18"/>
              </w:rPr>
            </w:pPr>
            <w:r>
              <w:rPr>
                <w:rFonts w:hint="eastAsia" w:ascii="仿宋_GB2312" w:hAnsi="宋体" w:eastAsia="仿宋_GB2312"/>
                <w:sz w:val="18"/>
                <w:szCs w:val="18"/>
              </w:rPr>
              <w:t>《政府信息公开条例》，当地省市县表彰文件</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sz w:val="18"/>
                <w:szCs w:val="18"/>
              </w:rPr>
            </w:pPr>
            <w:r>
              <w:rPr>
                <w:rFonts w:hint="eastAsia" w:ascii="仿宋_GB2312" w:hAnsi="仿宋" w:eastAsia="仿宋_GB2312"/>
                <w:sz w:val="18"/>
                <w:szCs w:val="18"/>
              </w:rPr>
              <w:t>县（市、区）教育部门</w:t>
            </w:r>
          </w:p>
        </w:tc>
        <w:tc>
          <w:tcPr>
            <w:tcW w:w="1290" w:type="dxa"/>
            <w:shd w:val="clear" w:color="auto" w:fill="auto"/>
            <w:vAlign w:val="center"/>
          </w:tcPr>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80" w:type="dxa"/>
            <w:shd w:val="clear" w:color="auto" w:fill="auto"/>
            <w:vAlign w:val="center"/>
          </w:tcPr>
          <w:p>
            <w:pPr>
              <w:rPr>
                <w:rFonts w:hint="eastAsia" w:ascii="仿宋_GB2312" w:hAnsi="仿宋" w:eastAsia="仿宋_GB2312" w:cs="宋体"/>
                <w:sz w:val="18"/>
                <w:szCs w:val="18"/>
              </w:rPr>
            </w:pPr>
            <w:r>
              <w:rPr>
                <w:rFonts w:hint="eastAsia" w:ascii="仿宋_GB2312" w:hAnsi="仿宋" w:eastAsia="仿宋_GB2312"/>
                <w:sz w:val="18"/>
                <w:szCs w:val="18"/>
              </w:rPr>
              <w:t>　</w:t>
            </w:r>
          </w:p>
        </w:tc>
        <w:tc>
          <w:tcPr>
            <w:tcW w:w="585"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900" w:type="dxa"/>
            <w:shd w:val="clear" w:color="auto" w:fill="auto"/>
            <w:vAlign w:val="center"/>
          </w:tcPr>
          <w:p>
            <w:pPr>
              <w:rPr>
                <w:rFonts w:hint="eastAsia" w:ascii="仿宋_GB2312" w:hAnsi="仿宋" w:eastAsia="仿宋_GB2312" w:cs="宋体"/>
                <w:sz w:val="18"/>
                <w:szCs w:val="18"/>
              </w:rPr>
            </w:pPr>
            <w:r>
              <w:rPr>
                <w:rFonts w:hint="eastAsia" w:ascii="仿宋_GB2312" w:hAnsi="仿宋" w:eastAsia="仿宋_GB2312"/>
                <w:sz w:val="18"/>
                <w:szCs w:val="18"/>
              </w:rPr>
              <w:t>　</w:t>
            </w:r>
          </w:p>
        </w:tc>
        <w:tc>
          <w:tcPr>
            <w:tcW w:w="555"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885" w:type="dxa"/>
            <w:shd w:val="clear" w:color="auto" w:fill="auto"/>
            <w:vAlign w:val="center"/>
          </w:tcPr>
          <w:p>
            <w:pPr>
              <w:rPr>
                <w:rFonts w:hint="eastAsia" w:ascii="仿宋_GB2312" w:hAnsi="Times New Roman" w:eastAsia="仿宋_GB2312"/>
                <w:sz w:val="18"/>
                <w:szCs w:val="18"/>
              </w:rPr>
            </w:pPr>
            <w:r>
              <w:rPr>
                <w:rFonts w:hint="eastAsia" w:ascii="仿宋_GB2312" w:hAnsi="Times New Roman" w:eastAsia="仿宋_GB2312"/>
                <w:sz w:val="18"/>
                <w:szCs w:val="18"/>
              </w:rPr>
              <w:t>　</w:t>
            </w:r>
          </w:p>
        </w:tc>
        <w:tc>
          <w:tcPr>
            <w:tcW w:w="797" w:type="dxa"/>
            <w:shd w:val="clear" w:color="auto" w:fill="auto"/>
            <w:vAlign w:val="center"/>
          </w:tcPr>
          <w:p>
            <w:pPr>
              <w:rPr>
                <w:rFonts w:hint="eastAsia" w:ascii="仿宋_GB2312"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6</w:t>
            </w:r>
          </w:p>
        </w:tc>
        <w:tc>
          <w:tcPr>
            <w:tcW w:w="497" w:type="dxa"/>
            <w:shd w:val="clear" w:color="auto" w:fill="auto"/>
            <w:vAlign w:val="center"/>
          </w:tcPr>
          <w:p>
            <w:pPr>
              <w:jc w:val="center"/>
              <w:rPr>
                <w:rFonts w:hint="eastAsia" w:ascii="仿宋_GB2312" w:hAnsi="宋体" w:eastAsia="仿宋_GB2312"/>
                <w:sz w:val="18"/>
                <w:szCs w:val="18"/>
              </w:rPr>
            </w:pPr>
            <w:r>
              <w:rPr>
                <w:rFonts w:hint="eastAsia" w:ascii="仿宋_GB2312" w:hAnsi="宋体" w:eastAsia="仿宋_GB2312"/>
                <w:sz w:val="18"/>
                <w:szCs w:val="18"/>
              </w:rPr>
              <w:t>学生管理</w:t>
            </w:r>
          </w:p>
        </w:tc>
        <w:tc>
          <w:tcPr>
            <w:tcW w:w="828" w:type="dxa"/>
            <w:shd w:val="clear" w:color="auto" w:fill="auto"/>
            <w:vAlign w:val="center"/>
          </w:tcPr>
          <w:p>
            <w:pPr>
              <w:rPr>
                <w:rFonts w:hint="eastAsia" w:ascii="仿宋_GB2312" w:hAnsi="宋体" w:eastAsia="仿宋_GB2312"/>
                <w:sz w:val="18"/>
                <w:szCs w:val="18"/>
              </w:rPr>
            </w:pPr>
            <w:r>
              <w:rPr>
                <w:rFonts w:hint="eastAsia" w:ascii="仿宋_GB2312" w:hAnsi="宋体" w:eastAsia="仿宋_GB2312"/>
                <w:sz w:val="18"/>
                <w:szCs w:val="18"/>
              </w:rPr>
              <w:t>优待政策</w:t>
            </w:r>
          </w:p>
        </w:tc>
        <w:tc>
          <w:tcPr>
            <w:tcW w:w="2152" w:type="dxa"/>
            <w:shd w:val="clear" w:color="auto" w:fill="auto"/>
            <w:vAlign w:val="center"/>
          </w:tcPr>
          <w:p>
            <w:pPr>
              <w:rPr>
                <w:rFonts w:hint="eastAsia" w:ascii="仿宋_GB2312" w:hAnsi="宋体" w:eastAsia="仿宋_GB2312" w:cs="宋体"/>
                <w:sz w:val="18"/>
                <w:szCs w:val="18"/>
              </w:rPr>
            </w:pPr>
            <w:r>
              <w:rPr>
                <w:rFonts w:hint="eastAsia" w:ascii="仿宋_GB2312" w:hAnsi="宋体" w:eastAsia="仿宋_GB2312"/>
                <w:sz w:val="18"/>
                <w:szCs w:val="18"/>
              </w:rPr>
              <w:t>军人子女参加中考优待确认办理的材料、流程和政策要求；少数民族考生中考加分确认办理的材料、流程和政策要求；归侨学生、归侨子女、华侨子女和港澳台籍考生中考加分确认；公安英烈和因公牺牲伤残公安民警子女教育优待细则；综合性消防救援队伍人员及其子女教育优待细则</w:t>
            </w:r>
          </w:p>
        </w:tc>
        <w:tc>
          <w:tcPr>
            <w:tcW w:w="2015" w:type="dxa"/>
            <w:shd w:val="clear" w:color="auto" w:fill="auto"/>
            <w:vAlign w:val="center"/>
          </w:tcPr>
          <w:p>
            <w:pPr>
              <w:rPr>
                <w:rFonts w:hint="eastAsia" w:ascii="仿宋_GB2312" w:hAnsi="宋体" w:eastAsia="仿宋_GB2312" w:cs="宋体"/>
                <w:sz w:val="18"/>
                <w:szCs w:val="18"/>
              </w:rPr>
            </w:pPr>
            <w:r>
              <w:rPr>
                <w:rFonts w:hint="eastAsia" w:ascii="仿宋_GB2312" w:hAnsi="宋体" w:eastAsia="仿宋_GB2312"/>
                <w:sz w:val="18"/>
                <w:szCs w:val="18"/>
              </w:rPr>
              <w:t>《政府信息公开条例》、《军人子女教育优待办法》、《国务院办公厅关于严格执行党和国家民族政策有关问题的通知》、《归侨侨眷权益保护法》、《教育部、国务院台湾事务办公室关于进一步做好台湾同胞子女在大陆中小学和幼儿园就读工作的若干意见》等</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sz w:val="18"/>
                <w:szCs w:val="18"/>
              </w:rPr>
            </w:pPr>
            <w:r>
              <w:rPr>
                <w:rFonts w:hint="eastAsia" w:ascii="仿宋_GB2312" w:hAnsi="仿宋" w:eastAsia="仿宋_GB2312"/>
                <w:sz w:val="18"/>
                <w:szCs w:val="18"/>
              </w:rPr>
              <w:t>县（市、区）教育部门</w:t>
            </w:r>
          </w:p>
        </w:tc>
        <w:tc>
          <w:tcPr>
            <w:tcW w:w="1290" w:type="dxa"/>
            <w:shd w:val="clear" w:color="auto" w:fill="auto"/>
            <w:vAlign w:val="center"/>
          </w:tcPr>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80" w:type="dxa"/>
            <w:shd w:val="clear" w:color="auto" w:fill="auto"/>
            <w:vAlign w:val="center"/>
          </w:tcPr>
          <w:p>
            <w:pPr>
              <w:rPr>
                <w:rFonts w:hint="eastAsia" w:ascii="仿宋_GB2312" w:hAnsi="仿宋" w:eastAsia="仿宋_GB2312" w:cs="宋体"/>
                <w:sz w:val="18"/>
                <w:szCs w:val="18"/>
              </w:rPr>
            </w:pPr>
            <w:r>
              <w:rPr>
                <w:rFonts w:hint="eastAsia" w:ascii="仿宋_GB2312" w:hAnsi="仿宋" w:eastAsia="仿宋_GB2312"/>
                <w:sz w:val="18"/>
                <w:szCs w:val="18"/>
              </w:rPr>
              <w:t>　</w:t>
            </w:r>
          </w:p>
        </w:tc>
        <w:tc>
          <w:tcPr>
            <w:tcW w:w="585"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900" w:type="dxa"/>
            <w:shd w:val="clear" w:color="auto" w:fill="auto"/>
            <w:vAlign w:val="center"/>
          </w:tcPr>
          <w:p>
            <w:pPr>
              <w:rPr>
                <w:rFonts w:hint="eastAsia" w:ascii="仿宋_GB2312" w:hAnsi="仿宋" w:eastAsia="仿宋_GB2312" w:cs="宋体"/>
                <w:sz w:val="18"/>
                <w:szCs w:val="18"/>
              </w:rPr>
            </w:pPr>
            <w:r>
              <w:rPr>
                <w:rFonts w:hint="eastAsia" w:ascii="仿宋_GB2312" w:hAnsi="仿宋" w:eastAsia="仿宋_GB2312"/>
                <w:sz w:val="18"/>
                <w:szCs w:val="18"/>
              </w:rPr>
              <w:t>　</w:t>
            </w:r>
          </w:p>
        </w:tc>
        <w:tc>
          <w:tcPr>
            <w:tcW w:w="555" w:type="dxa"/>
            <w:shd w:val="clear" w:color="auto" w:fill="auto"/>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885" w:type="dxa"/>
            <w:shd w:val="clear" w:color="auto" w:fill="auto"/>
            <w:vAlign w:val="center"/>
          </w:tcPr>
          <w:p>
            <w:pPr>
              <w:rPr>
                <w:rFonts w:hint="eastAsia" w:ascii="仿宋_GB2312" w:hAnsi="Times New Roman" w:eastAsia="仿宋_GB2312"/>
                <w:sz w:val="18"/>
                <w:szCs w:val="18"/>
              </w:rPr>
            </w:pPr>
            <w:r>
              <w:rPr>
                <w:rFonts w:hint="eastAsia" w:ascii="仿宋_GB2312" w:hAnsi="Times New Roman" w:eastAsia="仿宋_GB2312"/>
                <w:sz w:val="18"/>
                <w:szCs w:val="18"/>
              </w:rPr>
              <w:t>　</w:t>
            </w:r>
          </w:p>
        </w:tc>
        <w:tc>
          <w:tcPr>
            <w:tcW w:w="797" w:type="dxa"/>
            <w:shd w:val="clear" w:color="auto" w:fill="auto"/>
            <w:vAlign w:val="center"/>
          </w:tcPr>
          <w:p>
            <w:pPr>
              <w:rPr>
                <w:rFonts w:hint="eastAsia" w:ascii="仿宋_GB2312"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vMerge w:val="restart"/>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7</w:t>
            </w:r>
          </w:p>
        </w:tc>
        <w:tc>
          <w:tcPr>
            <w:tcW w:w="497" w:type="dxa"/>
            <w:vMerge w:val="restart"/>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教师管理</w:t>
            </w:r>
          </w:p>
        </w:tc>
        <w:tc>
          <w:tcPr>
            <w:tcW w:w="828"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教师培训</w:t>
            </w:r>
          </w:p>
        </w:tc>
        <w:tc>
          <w:tcPr>
            <w:tcW w:w="2152"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教师培训政策文件、培训项目组织实施通知</w:t>
            </w:r>
          </w:p>
        </w:tc>
        <w:tc>
          <w:tcPr>
            <w:tcW w:w="2015"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《教育法》、《教师法》、《中小学教师继续教育规定》</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1290" w:type="dxa"/>
            <w:shd w:val="clear" w:color="auto" w:fill="auto"/>
            <w:vAlign w:val="center"/>
          </w:tcPr>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8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eastAsia="仿宋_GB2312"/>
                <w:color w:val="000000"/>
                <w:sz w:val="18"/>
                <w:szCs w:val="18"/>
              </w:rPr>
              <w:t>　</w:t>
            </w:r>
          </w:p>
        </w:tc>
        <w:tc>
          <w:tcPr>
            <w:tcW w:w="797" w:type="dxa"/>
            <w:shd w:val="clear" w:color="auto" w:fill="auto"/>
            <w:vAlign w:val="center"/>
          </w:tcPr>
          <w:p>
            <w:pPr>
              <w:jc w:val="center"/>
              <w:rPr>
                <w:rFonts w:hint="eastAsia" w:ascii="仿宋_GB2312"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vMerge w:val="continue"/>
            <w:shd w:val="clear" w:color="auto" w:fill="auto"/>
            <w:vAlign w:val="center"/>
          </w:tcPr>
          <w:p>
            <w:pPr>
              <w:rPr>
                <w:rFonts w:hint="eastAsia" w:ascii="仿宋_GB2312" w:hAnsi="宋体" w:eastAsia="仿宋_GB2312" w:cs="宋体"/>
                <w:color w:val="000000"/>
                <w:sz w:val="18"/>
                <w:szCs w:val="18"/>
              </w:rPr>
            </w:pPr>
          </w:p>
        </w:tc>
        <w:tc>
          <w:tcPr>
            <w:tcW w:w="497" w:type="dxa"/>
            <w:vMerge w:val="continue"/>
            <w:shd w:val="clear" w:color="auto" w:fill="auto"/>
            <w:vAlign w:val="center"/>
          </w:tcPr>
          <w:p>
            <w:pPr>
              <w:rPr>
                <w:rFonts w:hint="eastAsia" w:ascii="仿宋_GB2312" w:hAnsi="宋体" w:eastAsia="仿宋_GB2312" w:cs="宋体"/>
                <w:color w:val="000000"/>
                <w:sz w:val="18"/>
                <w:szCs w:val="18"/>
              </w:rPr>
            </w:pPr>
          </w:p>
        </w:tc>
        <w:tc>
          <w:tcPr>
            <w:tcW w:w="828" w:type="dxa"/>
            <w:vMerge w:val="restart"/>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教师资格认定</w:t>
            </w:r>
          </w:p>
        </w:tc>
        <w:tc>
          <w:tcPr>
            <w:tcW w:w="2152"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教师资格认定申请材料；参加体检时间、医疗机构名单、体检合格标准；认定结果；咨询方式、监督举报方式、常见问题等</w:t>
            </w:r>
          </w:p>
        </w:tc>
        <w:tc>
          <w:tcPr>
            <w:tcW w:w="2015" w:type="dxa"/>
            <w:vMerge w:val="restart"/>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《教师法》、《政府信息公开条例》、《教师资格条例》及实施办法、《教育部关于印发〈教师资格证书管理规定〉的通知》</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1290" w:type="dxa"/>
            <w:shd w:val="clear" w:color="auto" w:fill="auto"/>
            <w:vAlign w:val="center"/>
          </w:tcPr>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8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eastAsia="仿宋_GB2312"/>
                <w:color w:val="000000"/>
                <w:sz w:val="18"/>
                <w:szCs w:val="18"/>
              </w:rPr>
              <w:t>　</w:t>
            </w:r>
          </w:p>
        </w:tc>
        <w:tc>
          <w:tcPr>
            <w:tcW w:w="797" w:type="dxa"/>
            <w:shd w:val="clear" w:color="auto" w:fill="auto"/>
            <w:vAlign w:val="center"/>
          </w:tcPr>
          <w:p>
            <w:pPr>
              <w:jc w:val="center"/>
              <w:rPr>
                <w:rFonts w:hint="eastAsia" w:ascii="仿宋_GB2312"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Height w:val="749" w:hRule="atLeast"/>
        </w:trPr>
        <w:tc>
          <w:tcPr>
            <w:tcW w:w="497" w:type="dxa"/>
            <w:vMerge w:val="continue"/>
            <w:shd w:val="clear" w:color="auto" w:fill="auto"/>
            <w:vAlign w:val="center"/>
          </w:tcPr>
          <w:p>
            <w:pPr>
              <w:rPr>
                <w:rFonts w:hint="eastAsia" w:ascii="仿宋_GB2312" w:hAnsi="宋体" w:eastAsia="仿宋_GB2312" w:cs="宋体"/>
                <w:color w:val="000000"/>
                <w:sz w:val="18"/>
                <w:szCs w:val="18"/>
              </w:rPr>
            </w:pPr>
          </w:p>
        </w:tc>
        <w:tc>
          <w:tcPr>
            <w:tcW w:w="497" w:type="dxa"/>
            <w:vMerge w:val="continue"/>
            <w:shd w:val="clear" w:color="auto" w:fill="auto"/>
            <w:vAlign w:val="center"/>
          </w:tcPr>
          <w:p>
            <w:pPr>
              <w:rPr>
                <w:rFonts w:hint="eastAsia" w:ascii="仿宋_GB2312" w:hAnsi="宋体" w:eastAsia="仿宋_GB2312" w:cs="宋体"/>
                <w:color w:val="000000"/>
                <w:sz w:val="18"/>
                <w:szCs w:val="18"/>
              </w:rPr>
            </w:pPr>
          </w:p>
        </w:tc>
        <w:tc>
          <w:tcPr>
            <w:tcW w:w="828" w:type="dxa"/>
            <w:vMerge w:val="continue"/>
            <w:shd w:val="clear" w:color="auto" w:fill="auto"/>
            <w:vAlign w:val="center"/>
          </w:tcPr>
          <w:p>
            <w:pPr>
              <w:rPr>
                <w:rFonts w:hint="eastAsia" w:ascii="仿宋_GB2312" w:hAnsi="宋体" w:eastAsia="仿宋_GB2312" w:cs="宋体"/>
                <w:color w:val="000000"/>
                <w:sz w:val="18"/>
                <w:szCs w:val="18"/>
              </w:rPr>
            </w:pPr>
          </w:p>
        </w:tc>
        <w:tc>
          <w:tcPr>
            <w:tcW w:w="2152"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中小学、幼儿园教师资格证书补发、换发政策及流程</w:t>
            </w:r>
          </w:p>
        </w:tc>
        <w:tc>
          <w:tcPr>
            <w:tcW w:w="2015" w:type="dxa"/>
            <w:vMerge w:val="continue"/>
            <w:shd w:val="clear" w:color="auto" w:fill="auto"/>
            <w:vAlign w:val="center"/>
          </w:tcPr>
          <w:p>
            <w:pPr>
              <w:rPr>
                <w:rFonts w:hint="eastAsia" w:ascii="仿宋_GB2312" w:hAnsi="宋体" w:eastAsia="仿宋_GB2312" w:cs="宋体"/>
                <w:color w:val="000000"/>
                <w:sz w:val="18"/>
                <w:szCs w:val="18"/>
              </w:rPr>
            </w:pP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1290" w:type="dxa"/>
            <w:shd w:val="clear" w:color="auto" w:fill="auto"/>
            <w:vAlign w:val="center"/>
          </w:tcPr>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8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eastAsia="仿宋_GB2312"/>
                <w:color w:val="000000"/>
                <w:sz w:val="18"/>
                <w:szCs w:val="18"/>
              </w:rPr>
              <w:t>　</w:t>
            </w:r>
          </w:p>
        </w:tc>
        <w:tc>
          <w:tcPr>
            <w:tcW w:w="797" w:type="dxa"/>
            <w:shd w:val="clear" w:color="auto" w:fill="auto"/>
            <w:vAlign w:val="center"/>
          </w:tcPr>
          <w:p>
            <w:pPr>
              <w:jc w:val="center"/>
              <w:rPr>
                <w:rFonts w:hint="eastAsia" w:ascii="仿宋_GB2312"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7</w:t>
            </w:r>
          </w:p>
        </w:tc>
        <w:tc>
          <w:tcPr>
            <w:tcW w:w="497"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教师管理</w:t>
            </w:r>
          </w:p>
        </w:tc>
        <w:tc>
          <w:tcPr>
            <w:tcW w:w="828"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教师公开招聘</w:t>
            </w:r>
          </w:p>
        </w:tc>
        <w:tc>
          <w:tcPr>
            <w:tcW w:w="2152"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教师招聘计划和公告、拟聘用人员名单公示</w:t>
            </w:r>
          </w:p>
        </w:tc>
        <w:tc>
          <w:tcPr>
            <w:tcW w:w="2015"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《政府信息公开条例》、《事业单位公开招聘人员暂行规定》、《关于进一步规范事业单位公开招聘工作的通知》、《人力资源社会保障部关于事业单位公开招聘岗位条件设置有关问题的通知》</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1290" w:type="dxa"/>
            <w:shd w:val="clear" w:color="auto" w:fill="auto"/>
            <w:vAlign w:val="center"/>
          </w:tcPr>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8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eastAsia="仿宋_GB2312"/>
                <w:color w:val="000000"/>
                <w:sz w:val="18"/>
                <w:szCs w:val="18"/>
              </w:rPr>
              <w:t>　</w:t>
            </w:r>
          </w:p>
        </w:tc>
        <w:tc>
          <w:tcPr>
            <w:tcW w:w="797" w:type="dxa"/>
            <w:shd w:val="clear" w:color="auto" w:fill="auto"/>
            <w:vAlign w:val="center"/>
          </w:tcPr>
          <w:p>
            <w:pPr>
              <w:jc w:val="center"/>
              <w:rPr>
                <w:rFonts w:hint="eastAsia" w:ascii="仿宋_GB2312"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shd w:val="clear" w:color="auto" w:fill="auto"/>
            <w:vAlign w:val="center"/>
          </w:tcPr>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olor w:val="000000"/>
                <w:sz w:val="18"/>
                <w:szCs w:val="18"/>
              </w:rPr>
              <w:t>7</w:t>
            </w:r>
          </w:p>
        </w:tc>
        <w:tc>
          <w:tcPr>
            <w:tcW w:w="497"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教师管理</w:t>
            </w:r>
          </w:p>
        </w:tc>
        <w:tc>
          <w:tcPr>
            <w:tcW w:w="828" w:type="dxa"/>
            <w:shd w:val="clear" w:color="auto" w:fill="auto"/>
            <w:vAlign w:val="center"/>
          </w:tcPr>
          <w:p>
            <w:pP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教师行为规范</w:t>
            </w:r>
          </w:p>
        </w:tc>
        <w:tc>
          <w:tcPr>
            <w:tcW w:w="2152"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对教师有严重违反教师职业行为准则的行政处罚信息</w:t>
            </w:r>
          </w:p>
        </w:tc>
        <w:tc>
          <w:tcPr>
            <w:tcW w:w="2015"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政府信息公开条例》、《新时代高校教师职业行为十项准则》、《新时代中小学教师职业行为十项准则》、《新时代幼儿园教师职业行为十项准则》、《中小学教师违反职业道德行为处理办法（2018年修订）》、《幼儿园教师违反职业道德行为处理办法》等</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1290" w:type="dxa"/>
            <w:shd w:val="clear" w:color="auto" w:fill="auto"/>
            <w:vAlign w:val="center"/>
          </w:tcPr>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8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eastAsia="仿宋_GB2312"/>
                <w:color w:val="000000"/>
                <w:sz w:val="18"/>
                <w:szCs w:val="18"/>
              </w:rPr>
              <w:t>　</w:t>
            </w:r>
          </w:p>
        </w:tc>
        <w:tc>
          <w:tcPr>
            <w:tcW w:w="797" w:type="dxa"/>
            <w:shd w:val="clear" w:color="auto" w:fill="auto"/>
            <w:vAlign w:val="center"/>
          </w:tcPr>
          <w:p>
            <w:pPr>
              <w:jc w:val="center"/>
              <w:rPr>
                <w:rFonts w:hint="eastAsia" w:ascii="仿宋_GB2312"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Height w:val="1652" w:hRule="atLeast"/>
        </w:trPr>
        <w:tc>
          <w:tcPr>
            <w:tcW w:w="497" w:type="dxa"/>
            <w:shd w:val="clear" w:color="auto" w:fill="auto"/>
            <w:vAlign w:val="center"/>
          </w:tcPr>
          <w:p>
            <w:pPr>
              <w:rPr>
                <w:rFonts w:hint="eastAsia" w:ascii="仿宋_GB2312" w:hAnsi="宋体" w:eastAsia="仿宋_GB2312" w:cs="宋体"/>
                <w:color w:val="000000"/>
                <w:sz w:val="18"/>
                <w:szCs w:val="18"/>
              </w:rPr>
            </w:pPr>
          </w:p>
        </w:tc>
        <w:tc>
          <w:tcPr>
            <w:tcW w:w="497" w:type="dxa"/>
            <w:shd w:val="clear" w:color="auto" w:fill="auto"/>
            <w:vAlign w:val="center"/>
          </w:tcPr>
          <w:p>
            <w:pPr>
              <w:rPr>
                <w:rFonts w:hint="eastAsia" w:ascii="仿宋_GB2312" w:hAnsi="宋体" w:eastAsia="仿宋_GB2312" w:cs="宋体"/>
                <w:color w:val="000000"/>
                <w:sz w:val="18"/>
                <w:szCs w:val="18"/>
              </w:rPr>
            </w:pPr>
          </w:p>
        </w:tc>
        <w:tc>
          <w:tcPr>
            <w:tcW w:w="828"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教师职称评审</w:t>
            </w:r>
          </w:p>
        </w:tc>
        <w:tc>
          <w:tcPr>
            <w:tcW w:w="2152"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评审政策、评审通知、学校拟推荐人选名单、评审结果、最终结果</w:t>
            </w:r>
          </w:p>
        </w:tc>
        <w:tc>
          <w:tcPr>
            <w:tcW w:w="2015"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《政府信息公开条例》、《人力资源社会保障部教育部关于印发深化中小学教师职称制度改革的指导意见的通知》</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信息形成（变更）3个工作日内，公示时间不少于7个工作日</w:t>
            </w:r>
          </w:p>
        </w:tc>
        <w:tc>
          <w:tcPr>
            <w:tcW w:w="780" w:type="dxa"/>
            <w:shd w:val="clear" w:color="auto" w:fill="auto"/>
            <w:vAlign w:val="center"/>
          </w:tcPr>
          <w:p>
            <w:pPr>
              <w:rPr>
                <w:rFonts w:hint="eastAsia" w:ascii="仿宋_GB2312" w:hAnsi="仿宋" w:eastAsia="仿宋_GB2312" w:cs="宋体"/>
                <w:sz w:val="18"/>
                <w:szCs w:val="18"/>
              </w:rPr>
            </w:pPr>
            <w:r>
              <w:rPr>
                <w:rFonts w:hint="eastAsia" w:ascii="仿宋_GB2312" w:hAnsi="仿宋" w:eastAsia="仿宋_GB2312"/>
                <w:sz w:val="18"/>
                <w:szCs w:val="18"/>
              </w:rPr>
              <w:t>县级、乡级教育部门</w:t>
            </w:r>
          </w:p>
        </w:tc>
        <w:tc>
          <w:tcPr>
            <w:tcW w:w="1290" w:type="dxa"/>
            <w:shd w:val="clear" w:color="auto" w:fill="auto"/>
            <w:vAlign w:val="center"/>
          </w:tcPr>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8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教师</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97" w:type="dxa"/>
            <w:shd w:val="clear" w:color="auto" w:fill="auto"/>
            <w:vAlign w:val="center"/>
          </w:tcPr>
          <w:p>
            <w:pPr>
              <w:jc w:val="center"/>
              <w:rPr>
                <w:rFonts w:hint="eastAsia" w:ascii="仿宋_GB2312" w:hAnsi="仿宋"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7</w:t>
            </w:r>
          </w:p>
        </w:tc>
        <w:tc>
          <w:tcPr>
            <w:tcW w:w="497"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教师管理</w:t>
            </w:r>
          </w:p>
        </w:tc>
        <w:tc>
          <w:tcPr>
            <w:tcW w:w="828"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特岗教师招聘</w:t>
            </w:r>
          </w:p>
        </w:tc>
        <w:tc>
          <w:tcPr>
            <w:tcW w:w="2152"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岗位设置管理政策、条件、程序等；特岗教师招聘文件及招聘公告；初审结果；笔试成绩；资格复审结果；参加面试人员、面试成绩；进入考察人员名单；拟聘用人员名单；最终聘用结果</w:t>
            </w:r>
          </w:p>
        </w:tc>
        <w:tc>
          <w:tcPr>
            <w:tcW w:w="2015"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《政府信息公开条例》、《教育部 财政部 人事部 中央编办 关于实施农村义务教育阶段学校教师特设岗位计划的通知》、《教育部 财政部 人力资源社会保障部 中央编办 关于继续组织实施“农村义务教育阶段学校教师特设岗位计划”的通知》等</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信息形成（变更）3个工作日内，公示时间不少于7个工作日</w:t>
            </w:r>
          </w:p>
        </w:tc>
        <w:tc>
          <w:tcPr>
            <w:tcW w:w="780"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1290" w:type="dxa"/>
            <w:shd w:val="clear" w:color="auto" w:fill="auto"/>
            <w:vAlign w:val="center"/>
          </w:tcPr>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8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应聘</w:t>
            </w:r>
            <w:r>
              <w:rPr>
                <w:rFonts w:hint="eastAsia" w:ascii="仿宋_GB2312" w:hAnsi="仿宋" w:eastAsia="仿宋_GB2312"/>
                <w:color w:val="000000"/>
                <w:sz w:val="18"/>
                <w:szCs w:val="18"/>
              </w:rPr>
              <w:br w:type="textWrapping"/>
            </w:r>
            <w:r>
              <w:rPr>
                <w:rFonts w:hint="eastAsia" w:ascii="仿宋_GB2312" w:hAnsi="仿宋" w:eastAsia="仿宋_GB2312"/>
                <w:color w:val="000000"/>
                <w:sz w:val="18"/>
                <w:szCs w:val="18"/>
              </w:rPr>
              <w:t>人员</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97" w:type="dxa"/>
            <w:shd w:val="clear" w:color="auto" w:fill="auto"/>
            <w:vAlign w:val="center"/>
          </w:tcPr>
          <w:p>
            <w:pPr>
              <w:jc w:val="center"/>
              <w:rPr>
                <w:rFonts w:hint="eastAsia" w:ascii="仿宋_GB2312" w:hAnsi="仿宋"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7</w:t>
            </w:r>
          </w:p>
        </w:tc>
        <w:tc>
          <w:tcPr>
            <w:tcW w:w="497"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教师管理</w:t>
            </w:r>
          </w:p>
        </w:tc>
        <w:tc>
          <w:tcPr>
            <w:tcW w:w="828"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乡村教师生活补助</w:t>
            </w:r>
          </w:p>
        </w:tc>
        <w:tc>
          <w:tcPr>
            <w:tcW w:w="2152"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管理制度、实施方案、实施时间、补助范围、发放对象、补助档次标准</w:t>
            </w:r>
          </w:p>
        </w:tc>
        <w:tc>
          <w:tcPr>
            <w:tcW w:w="2015"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《政府信息公开条例》、《教育部 财政部关于落实2013年中央1号文件要求对在连片特困地区工作的乡村教师给予生活补助的通知》、《教育部关于加强乡村教师生活补助经费管理有关工作的通知》</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信息形成（变更）3个工作日内；教师申领情况进行常年公示</w:t>
            </w:r>
          </w:p>
        </w:tc>
        <w:tc>
          <w:tcPr>
            <w:tcW w:w="780"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1290" w:type="dxa"/>
            <w:shd w:val="clear" w:color="auto" w:fill="auto"/>
            <w:vAlign w:val="center"/>
          </w:tcPr>
          <w:p>
            <w:pPr>
              <w:jc w:val="left"/>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80"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97" w:type="dxa"/>
            <w:shd w:val="clear" w:color="auto" w:fill="auto"/>
            <w:vAlign w:val="center"/>
          </w:tcPr>
          <w:p>
            <w:pPr>
              <w:jc w:val="center"/>
              <w:rPr>
                <w:rFonts w:hint="eastAsia" w:ascii="仿宋_GB2312" w:hAnsi="仿宋"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Height w:val="2294" w:hRule="atLeast"/>
        </w:trPr>
        <w:tc>
          <w:tcPr>
            <w:tcW w:w="497"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8</w:t>
            </w:r>
          </w:p>
        </w:tc>
        <w:tc>
          <w:tcPr>
            <w:tcW w:w="49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sz w:val="18"/>
                <w:szCs w:val="18"/>
              </w:rPr>
              <w:t>重要政策执行情况</w:t>
            </w:r>
          </w:p>
        </w:tc>
        <w:tc>
          <w:tcPr>
            <w:tcW w:w="828" w:type="dxa"/>
            <w:shd w:val="clear" w:color="auto" w:fill="auto"/>
            <w:vAlign w:val="center"/>
          </w:tcPr>
          <w:p>
            <w:pPr>
              <w:rPr>
                <w:rFonts w:hint="eastAsia" w:ascii="仿宋_GB2312" w:hAnsi="宋体" w:eastAsia="仿宋_GB2312" w:cs="宋体"/>
                <w:sz w:val="18"/>
                <w:szCs w:val="18"/>
              </w:rPr>
            </w:pPr>
            <w:r>
              <w:rPr>
                <w:rFonts w:hint="eastAsia" w:ascii="仿宋_GB2312" w:hAnsi="宋体" w:eastAsia="仿宋_GB2312"/>
                <w:sz w:val="18"/>
                <w:szCs w:val="18"/>
              </w:rPr>
              <w:t>控辍保学</w:t>
            </w:r>
          </w:p>
        </w:tc>
        <w:tc>
          <w:tcPr>
            <w:tcW w:w="2152" w:type="dxa"/>
            <w:shd w:val="clear" w:color="auto" w:fill="auto"/>
            <w:vAlign w:val="center"/>
          </w:tcPr>
          <w:p>
            <w:pPr>
              <w:rPr>
                <w:rFonts w:hint="eastAsia" w:ascii="仿宋_GB2312" w:hAnsi="宋体" w:eastAsia="仿宋_GB2312" w:cs="宋体"/>
                <w:sz w:val="18"/>
                <w:szCs w:val="18"/>
              </w:rPr>
            </w:pPr>
            <w:r>
              <w:rPr>
                <w:rFonts w:hint="eastAsia" w:ascii="仿宋_GB2312" w:hAnsi="宋体" w:eastAsia="仿宋_GB2312"/>
                <w:sz w:val="18"/>
                <w:szCs w:val="18"/>
              </w:rPr>
              <w:t>“一县一策”控辍保学工作方案；年度工作进展情况（含义务教育学生失学、辍学的总体情况，建档立卡家庭贫困学生总体就学情况）</w:t>
            </w:r>
          </w:p>
        </w:tc>
        <w:tc>
          <w:tcPr>
            <w:tcW w:w="2015" w:type="dxa"/>
            <w:shd w:val="clear" w:color="auto" w:fill="auto"/>
            <w:vAlign w:val="center"/>
          </w:tcPr>
          <w:p>
            <w:pPr>
              <w:rPr>
                <w:rFonts w:hint="eastAsia" w:ascii="仿宋_GB2312" w:hAnsi="宋体" w:eastAsia="仿宋_GB2312" w:cs="宋体"/>
                <w:sz w:val="18"/>
                <w:szCs w:val="18"/>
              </w:rPr>
            </w:pPr>
            <w:r>
              <w:rPr>
                <w:rFonts w:hint="eastAsia" w:ascii="仿宋_GB2312" w:hAnsi="宋体" w:eastAsia="仿宋_GB2312"/>
                <w:sz w:val="18"/>
                <w:szCs w:val="18"/>
              </w:rPr>
              <w:t>《政府信息公开条例》、《国务院办公厅关于进一步加强控辍保学提高义务教育巩固水平的通知</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sz w:val="18"/>
                <w:szCs w:val="18"/>
              </w:rPr>
            </w:pPr>
            <w:r>
              <w:rPr>
                <w:rFonts w:hint="eastAsia" w:ascii="仿宋_GB2312" w:hAnsi="仿宋" w:eastAsia="仿宋_GB2312"/>
                <w:sz w:val="18"/>
                <w:szCs w:val="18"/>
              </w:rPr>
              <w:t>县（市、区）教育部门</w:t>
            </w:r>
          </w:p>
        </w:tc>
        <w:tc>
          <w:tcPr>
            <w:tcW w:w="1290" w:type="dxa"/>
            <w:shd w:val="clear" w:color="auto" w:fill="auto"/>
            <w:vAlign w:val="center"/>
          </w:tcPr>
          <w:p>
            <w:pPr>
              <w:spacing w:line="240" w:lineRule="exact"/>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■政府网站</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80" w:type="dxa"/>
            <w:shd w:val="clear" w:color="auto" w:fill="auto"/>
            <w:vAlign w:val="center"/>
          </w:tcPr>
          <w:p>
            <w:pPr>
              <w:rPr>
                <w:rFonts w:hint="eastAsia" w:ascii="仿宋_GB2312" w:hAnsi="Times New Roman" w:eastAsia="仿宋_GB2312"/>
                <w:sz w:val="18"/>
                <w:szCs w:val="18"/>
              </w:rPr>
            </w:pPr>
            <w:r>
              <w:rPr>
                <w:rFonts w:hint="eastAsia" w:ascii="仿宋_GB2312" w:hAnsi="Times New Roman" w:eastAsia="仿宋_GB2312"/>
                <w:sz w:val="18"/>
                <w:szCs w:val="18"/>
              </w:rPr>
              <w:t>　</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rPr>
                <w:rFonts w:hint="eastAsia" w:ascii="仿宋_GB2312" w:hAnsi="Times New Roman" w:eastAsia="仿宋_GB2312"/>
                <w:sz w:val="18"/>
                <w:szCs w:val="18"/>
              </w:rPr>
            </w:pPr>
            <w:r>
              <w:rPr>
                <w:rFonts w:hint="eastAsia" w:ascii="仿宋_GB2312" w:hAnsi="Times New Roman" w:eastAsia="仿宋_GB2312"/>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rPr>
                <w:rFonts w:hint="eastAsia" w:ascii="仿宋_GB2312" w:hAnsi="Times New Roman" w:eastAsia="仿宋_GB2312"/>
                <w:sz w:val="18"/>
                <w:szCs w:val="18"/>
              </w:rPr>
            </w:pPr>
            <w:r>
              <w:rPr>
                <w:rFonts w:hint="eastAsia" w:ascii="仿宋_GB2312" w:hAnsi="Times New Roman" w:eastAsia="仿宋_GB2312"/>
                <w:sz w:val="18"/>
                <w:szCs w:val="18"/>
              </w:rPr>
              <w:t>　</w:t>
            </w:r>
          </w:p>
        </w:tc>
        <w:tc>
          <w:tcPr>
            <w:tcW w:w="797" w:type="dxa"/>
            <w:shd w:val="clear" w:color="auto" w:fill="auto"/>
            <w:vAlign w:val="center"/>
          </w:tcPr>
          <w:p>
            <w:pPr>
              <w:rPr>
                <w:rFonts w:hint="eastAsia" w:ascii="仿宋_GB2312"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vMerge w:val="restart"/>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sz w:val="18"/>
                <w:szCs w:val="18"/>
              </w:rPr>
              <w:t>8</w:t>
            </w:r>
          </w:p>
        </w:tc>
        <w:tc>
          <w:tcPr>
            <w:tcW w:w="497" w:type="dxa"/>
            <w:vMerge w:val="restart"/>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sz w:val="18"/>
                <w:szCs w:val="18"/>
              </w:rPr>
              <w:t>重要政策执行情况</w:t>
            </w:r>
          </w:p>
        </w:tc>
        <w:tc>
          <w:tcPr>
            <w:tcW w:w="828"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学校体育评价</w:t>
            </w:r>
          </w:p>
        </w:tc>
        <w:tc>
          <w:tcPr>
            <w:tcW w:w="2152"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学校体育工作自评结果（体育课、体育训练、体育比赛、体育场地、条件保障等）</w:t>
            </w:r>
          </w:p>
        </w:tc>
        <w:tc>
          <w:tcPr>
            <w:tcW w:w="2015"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《政府信息公开条例》、教育部关于印发《学生体质健康监测评价办法》等三个文件的通知</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sz w:val="18"/>
                <w:szCs w:val="18"/>
              </w:rPr>
            </w:pPr>
            <w:r>
              <w:rPr>
                <w:rFonts w:hint="eastAsia" w:ascii="仿宋_GB2312" w:hAnsi="仿宋" w:eastAsia="仿宋_GB2312"/>
                <w:sz w:val="18"/>
                <w:szCs w:val="18"/>
              </w:rPr>
              <w:t>县（市、区）教育部门</w:t>
            </w:r>
          </w:p>
        </w:tc>
        <w:tc>
          <w:tcPr>
            <w:tcW w:w="1290" w:type="dxa"/>
            <w:shd w:val="clear" w:color="auto" w:fill="auto"/>
            <w:vAlign w:val="center"/>
          </w:tcPr>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8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97" w:type="dxa"/>
            <w:shd w:val="clear" w:color="auto" w:fill="auto"/>
            <w:vAlign w:val="center"/>
          </w:tcPr>
          <w:p>
            <w:pPr>
              <w:jc w:val="center"/>
              <w:rPr>
                <w:rFonts w:hint="eastAsia" w:ascii="仿宋_GB2312" w:hAnsi="仿宋"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vMerge w:val="continue"/>
            <w:shd w:val="clear" w:color="auto" w:fill="auto"/>
            <w:vAlign w:val="center"/>
          </w:tcPr>
          <w:p>
            <w:pPr>
              <w:rPr>
                <w:rFonts w:hint="eastAsia" w:ascii="仿宋_GB2312" w:hAnsi="宋体" w:eastAsia="仿宋_GB2312" w:cs="宋体"/>
                <w:sz w:val="18"/>
                <w:szCs w:val="18"/>
              </w:rPr>
            </w:pPr>
          </w:p>
        </w:tc>
        <w:tc>
          <w:tcPr>
            <w:tcW w:w="497" w:type="dxa"/>
            <w:vMerge w:val="continue"/>
            <w:shd w:val="clear" w:color="auto" w:fill="auto"/>
            <w:vAlign w:val="center"/>
          </w:tcPr>
          <w:p>
            <w:pPr>
              <w:rPr>
                <w:rFonts w:hint="eastAsia" w:ascii="仿宋_GB2312" w:hAnsi="宋体" w:eastAsia="仿宋_GB2312" w:cs="宋体"/>
                <w:sz w:val="18"/>
                <w:szCs w:val="18"/>
              </w:rPr>
            </w:pPr>
          </w:p>
        </w:tc>
        <w:tc>
          <w:tcPr>
            <w:tcW w:w="828"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学校美育评价</w:t>
            </w:r>
          </w:p>
        </w:tc>
        <w:tc>
          <w:tcPr>
            <w:tcW w:w="2152"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学校艺术教育工作自评结果（艺术课程、艺术活动、条件保障、特色发展及学生艺术素质测评等）</w:t>
            </w:r>
          </w:p>
        </w:tc>
        <w:tc>
          <w:tcPr>
            <w:tcW w:w="2015"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《政府信息公开条例》、教育部关于印发《中小学生艺术素质测评办法》等三个文件的通知</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sz w:val="18"/>
                <w:szCs w:val="18"/>
              </w:rPr>
            </w:pPr>
            <w:r>
              <w:rPr>
                <w:rFonts w:hint="eastAsia" w:ascii="仿宋_GB2312" w:hAnsi="仿宋" w:eastAsia="仿宋_GB2312"/>
                <w:sz w:val="18"/>
                <w:szCs w:val="18"/>
              </w:rPr>
              <w:t>县（市、区）教育部门</w:t>
            </w:r>
          </w:p>
        </w:tc>
        <w:tc>
          <w:tcPr>
            <w:tcW w:w="1290" w:type="dxa"/>
            <w:shd w:val="clear" w:color="auto" w:fill="auto"/>
            <w:vAlign w:val="center"/>
          </w:tcPr>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8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97" w:type="dxa"/>
            <w:shd w:val="clear" w:color="auto" w:fill="auto"/>
            <w:vAlign w:val="center"/>
          </w:tcPr>
          <w:p>
            <w:pPr>
              <w:jc w:val="center"/>
              <w:rPr>
                <w:rFonts w:hint="eastAsia" w:ascii="仿宋_GB2312" w:hAnsi="仿宋"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Height w:val="1707" w:hRule="atLeast"/>
        </w:trPr>
        <w:tc>
          <w:tcPr>
            <w:tcW w:w="497" w:type="dxa"/>
            <w:vMerge w:val="restart"/>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9</w:t>
            </w:r>
          </w:p>
        </w:tc>
        <w:tc>
          <w:tcPr>
            <w:tcW w:w="497" w:type="dxa"/>
            <w:vMerge w:val="restart"/>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 xml:space="preserve">    教育督导</w:t>
            </w:r>
          </w:p>
        </w:tc>
        <w:tc>
          <w:tcPr>
            <w:tcW w:w="828"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机构队伍</w:t>
            </w:r>
          </w:p>
        </w:tc>
        <w:tc>
          <w:tcPr>
            <w:tcW w:w="2152"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督导部门组成、督学名单、</w:t>
            </w:r>
          </w:p>
        </w:tc>
        <w:tc>
          <w:tcPr>
            <w:tcW w:w="2015" w:type="dxa"/>
            <w:vMerge w:val="restart"/>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《教育督导条例》、《县域义务教育均衡发展督导评估暂行办法》、《县域义务教育优质均衡发展督导评估办法》</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1290" w:type="dxa"/>
            <w:shd w:val="clear" w:color="auto" w:fill="auto"/>
            <w:vAlign w:val="center"/>
          </w:tcPr>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8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jc w:val="center"/>
              <w:rPr>
                <w:rFonts w:hint="eastAsia" w:ascii="仿宋_GB2312" w:hAnsi="仿宋" w:eastAsia="仿宋_GB2312" w:cs="宋体"/>
                <w:color w:val="000000"/>
                <w:sz w:val="18"/>
                <w:szCs w:val="18"/>
              </w:rPr>
            </w:pPr>
          </w:p>
        </w:tc>
        <w:tc>
          <w:tcPr>
            <w:tcW w:w="797" w:type="dxa"/>
            <w:shd w:val="clear" w:color="auto" w:fill="auto"/>
            <w:vAlign w:val="center"/>
          </w:tcPr>
          <w:p>
            <w:pPr>
              <w:jc w:val="center"/>
              <w:rPr>
                <w:rFonts w:hint="eastAsia" w:ascii="仿宋_GB2312" w:hAnsi="仿宋"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vMerge w:val="continue"/>
            <w:shd w:val="clear" w:color="auto" w:fill="auto"/>
            <w:vAlign w:val="center"/>
          </w:tcPr>
          <w:p>
            <w:pPr>
              <w:rPr>
                <w:rFonts w:hint="eastAsia" w:ascii="仿宋_GB2312" w:hAnsi="宋体" w:eastAsia="仿宋_GB2312" w:cs="宋体"/>
                <w:color w:val="000000"/>
                <w:sz w:val="18"/>
                <w:szCs w:val="18"/>
              </w:rPr>
            </w:pPr>
          </w:p>
        </w:tc>
        <w:tc>
          <w:tcPr>
            <w:tcW w:w="497" w:type="dxa"/>
            <w:vMerge w:val="continue"/>
            <w:shd w:val="clear" w:color="auto" w:fill="auto"/>
            <w:vAlign w:val="center"/>
          </w:tcPr>
          <w:p>
            <w:pPr>
              <w:rPr>
                <w:rFonts w:hint="eastAsia" w:ascii="仿宋_GB2312" w:hAnsi="宋体" w:eastAsia="仿宋_GB2312" w:cs="宋体"/>
                <w:color w:val="000000"/>
                <w:sz w:val="18"/>
                <w:szCs w:val="18"/>
              </w:rPr>
            </w:pPr>
          </w:p>
        </w:tc>
        <w:tc>
          <w:tcPr>
            <w:tcW w:w="828"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学校督导评估</w:t>
            </w:r>
          </w:p>
        </w:tc>
        <w:tc>
          <w:tcPr>
            <w:tcW w:w="2152"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年度督导工作计划内容、责任区划分和责任督学名单、责任督学日常督导事项，学校督导评估的办法、指标体系、督导评估报告</w:t>
            </w:r>
          </w:p>
        </w:tc>
        <w:tc>
          <w:tcPr>
            <w:tcW w:w="2015" w:type="dxa"/>
            <w:vMerge w:val="continue"/>
            <w:shd w:val="clear" w:color="auto" w:fill="auto"/>
            <w:vAlign w:val="center"/>
          </w:tcPr>
          <w:p>
            <w:pPr>
              <w:rPr>
                <w:rFonts w:hint="eastAsia" w:ascii="仿宋_GB2312" w:hAnsi="宋体" w:eastAsia="仿宋_GB2312" w:cs="宋体"/>
                <w:color w:val="000000"/>
                <w:sz w:val="18"/>
                <w:szCs w:val="18"/>
              </w:rPr>
            </w:pP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1290" w:type="dxa"/>
            <w:shd w:val="clear" w:color="auto" w:fill="auto"/>
            <w:vAlign w:val="center"/>
          </w:tcPr>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8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97" w:type="dxa"/>
            <w:shd w:val="clear" w:color="auto" w:fill="auto"/>
            <w:vAlign w:val="center"/>
          </w:tcPr>
          <w:p>
            <w:pPr>
              <w:jc w:val="center"/>
              <w:rPr>
                <w:rFonts w:hint="eastAsia" w:ascii="仿宋_GB2312" w:hAnsi="仿宋"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cantSplit/>
        </w:trPr>
        <w:tc>
          <w:tcPr>
            <w:tcW w:w="497"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10</w:t>
            </w:r>
          </w:p>
        </w:tc>
        <w:tc>
          <w:tcPr>
            <w:tcW w:w="497" w:type="dxa"/>
            <w:shd w:val="clear" w:color="auto" w:fill="auto"/>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校园安全</w:t>
            </w:r>
          </w:p>
        </w:tc>
        <w:tc>
          <w:tcPr>
            <w:tcW w:w="828"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校园安全管理</w:t>
            </w:r>
          </w:p>
        </w:tc>
        <w:tc>
          <w:tcPr>
            <w:tcW w:w="2152"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校园安全管理法律法规、配套管理制度，学生住宿、用餐、组织活动等安全管理情况，校园安全突发事件应急预案、预警信息、应对情况、调查处理情况，校车使用许可申请政策规定及申请流程</w:t>
            </w:r>
          </w:p>
        </w:tc>
        <w:tc>
          <w:tcPr>
            <w:tcW w:w="2015" w:type="dxa"/>
            <w:shd w:val="clear" w:color="auto" w:fill="auto"/>
            <w:vAlign w:val="center"/>
          </w:tcPr>
          <w:p>
            <w:pP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《政府信息公开条例》、《国务院办公厅关于加强中小学幼儿园安全风险防控体系建设的意见》、《教育部关于推进中小学信息公开工作的意见》、《校车安全管理条例》</w:t>
            </w:r>
          </w:p>
        </w:tc>
        <w:tc>
          <w:tcPr>
            <w:tcW w:w="1545"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780"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1290" w:type="dxa"/>
            <w:shd w:val="clear" w:color="auto" w:fill="auto"/>
            <w:vAlign w:val="center"/>
          </w:tcPr>
          <w:p>
            <w:pPr>
              <w:rPr>
                <w:rFonts w:hint="eastAsia" w:ascii="仿宋_GB2312" w:hAnsi="仿宋" w:eastAsia="仿宋_GB2312" w:cs="宋体"/>
                <w:color w:val="FF0000"/>
                <w:sz w:val="18"/>
                <w:szCs w:val="18"/>
              </w:rPr>
            </w:pPr>
            <w:r>
              <w:rPr>
                <w:rFonts w:hint="eastAsia" w:ascii="仿宋_GB2312" w:hAnsi="仿宋" w:eastAsia="仿宋_GB2312"/>
                <w:color w:val="FF0000"/>
                <w:sz w:val="18"/>
                <w:szCs w:val="18"/>
              </w:rPr>
              <w:t xml:space="preserve">■政府网站            </w:t>
            </w:r>
          </w:p>
        </w:tc>
        <w:tc>
          <w:tcPr>
            <w:tcW w:w="79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80" w:type="dxa"/>
            <w:shd w:val="clear" w:color="auto" w:fill="auto"/>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900"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5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885" w:type="dxa"/>
            <w:shd w:val="clear" w:color="auto" w:fill="auto"/>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97" w:type="dxa"/>
            <w:shd w:val="clear" w:color="auto" w:fill="auto"/>
            <w:vAlign w:val="center"/>
          </w:tcPr>
          <w:p>
            <w:pPr>
              <w:jc w:val="center"/>
              <w:rPr>
                <w:rFonts w:hint="eastAsia" w:ascii="仿宋_GB2312" w:hAnsi="仿宋" w:eastAsia="仿宋_GB2312"/>
                <w:color w:val="000000"/>
                <w:sz w:val="18"/>
                <w:szCs w:val="18"/>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宋体"/>
    <w:panose1 w:val="00000000000000000000"/>
    <w:charset w:val="86"/>
    <w:family w:val="auto"/>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PMingLiU">
    <w:panose1 w:val="02020500000000000000"/>
    <w:charset w:val="88"/>
    <w:family w:val="auto"/>
    <w:pitch w:val="default"/>
    <w:sig w:usb0="A00002FF" w:usb1="28CFFCFA" w:usb2="00000016" w:usb3="00000000" w:csb0="00100001" w:csb1="00000000"/>
  </w:font>
  <w:font w:name="Wingdings">
    <w:panose1 w:val="05000000000000000000"/>
    <w:charset w:val="00"/>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411AF8"/>
    <w:rsid w:val="04E2753F"/>
    <w:rsid w:val="0C012015"/>
    <w:rsid w:val="0CF5405F"/>
    <w:rsid w:val="1A411AF8"/>
    <w:rsid w:val="535C1CA6"/>
    <w:rsid w:val="57A41B47"/>
    <w:rsid w:val="676821A6"/>
    <w:rsid w:val="73AE2FF8"/>
    <w:rsid w:val="73C24134"/>
    <w:rsid w:val="74DC21CE"/>
    <w:rsid w:val="7C4814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揭阳市教育局</Company>
  <Pages>1</Pages>
  <Words>0</Words>
  <Characters>0</Characters>
  <Lines>0</Lines>
  <Paragraphs>0</Paragraphs>
  <TotalTime>11</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2020-06-23T01:27:00Z</dcterms:created>
  <dc:creator>Administrator</dc:creator>
  <cp:lastModifiedBy>Administrator</cp:lastModifiedBy>
  <cp:lastPrinted>2020-11-03T09:06:00Z</cp:lastPrinted>
  <dcterms:modified xsi:type="dcterms:W3CDTF">2020-12-21T03:22:08Z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