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仿宋_GB2312" w:cs="Times New Roman"/>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fill="FFFFFF"/>
        </w:rPr>
      </w:pPr>
      <w:bookmarkStart w:id="0" w:name="_GoBack"/>
      <w:r>
        <w:rPr>
          <w:rFonts w:hint="eastAsia" w:ascii="方正小标宋简体" w:hAnsi="方正小标宋简体" w:eastAsia="方正小标宋简体" w:cs="方正小标宋简体"/>
          <w:sz w:val="44"/>
          <w:szCs w:val="44"/>
        </w:rPr>
        <w:t>榕城区教育局</w:t>
      </w: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b w:val="0"/>
          <w:bCs/>
          <w:i w:val="0"/>
          <w:caps w:val="0"/>
          <w:color w:val="auto"/>
          <w:spacing w:val="0"/>
          <w:sz w:val="44"/>
          <w:szCs w:val="44"/>
          <w:shd w:val="clear" w:fill="FFFFFF"/>
        </w:rPr>
        <w:t>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rPr>
        <w:t>年度报告</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_GB2312" w:cs="Times New Roman"/>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640" w:firstLineChars="200"/>
        <w:jc w:val="left"/>
        <w:textAlignment w:val="auto"/>
        <w:outlineLvl w:val="9"/>
        <w:rPr>
          <w:rFonts w:hint="eastAsia" w:eastAsia="楷体"/>
          <w:sz w:val="32"/>
          <w:szCs w:val="32"/>
        </w:rPr>
      </w:pPr>
      <w:r>
        <w:rPr>
          <w:rFonts w:hint="default" w:ascii="Times New Roman" w:hAnsi="Times New Roman" w:eastAsia="黑体" w:cs="Times New Roman"/>
          <w:b w:val="0"/>
          <w:bCs/>
          <w:i w:val="0"/>
          <w:caps w:val="0"/>
          <w:color w:val="auto"/>
          <w:spacing w:val="0"/>
          <w:sz w:val="32"/>
          <w:szCs w:val="32"/>
          <w:shd w:val="clear" w:fill="FFFFFF"/>
        </w:rPr>
        <w:t>一、总体情况</w:t>
      </w:r>
      <w:r>
        <w:rPr>
          <w:rFonts w:hint="eastAsia" w:eastAsia="楷体"/>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榕</w:t>
      </w:r>
      <w:r>
        <w:rPr>
          <w:rFonts w:hint="eastAsia" w:ascii="仿宋" w:hAnsi="仿宋" w:eastAsia="仿宋" w:cs="仿宋"/>
          <w:sz w:val="32"/>
          <w:szCs w:val="32"/>
        </w:rPr>
        <w:t>府办</w:t>
      </w:r>
      <w:r>
        <w:rPr>
          <w:rFonts w:hint="eastAsia" w:ascii="仿宋" w:hAnsi="仿宋" w:eastAsia="仿宋" w:cs="仿宋"/>
          <w:sz w:val="32"/>
          <w:szCs w:val="32"/>
          <w:lang w:eastAsia="zh-CN"/>
        </w:rPr>
        <w:t>关于转发《揭阳市人民政府办公室关于转发政府信息公开工作年度报告有关事项的通知》要求，</w:t>
      </w:r>
      <w:r>
        <w:rPr>
          <w:rFonts w:hint="eastAsia" w:ascii="仿宋" w:hAnsi="仿宋" w:eastAsia="仿宋" w:cs="仿宋"/>
          <w:sz w:val="32"/>
          <w:szCs w:val="32"/>
        </w:rPr>
        <w:t>榕城区教育局依照《中华人民共和国政府信息公开条例》（以下简称《条例》）的规定，现将政务公开工作报告如下：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2020年</w:t>
      </w:r>
      <w:r>
        <w:rPr>
          <w:rFonts w:hint="eastAsia" w:ascii="仿宋" w:hAnsi="仿宋" w:eastAsia="仿宋" w:cs="仿宋"/>
          <w:sz w:val="32"/>
          <w:szCs w:val="32"/>
        </w:rPr>
        <w:t>，在区委、区政府的正确领导下，在上级政务公开部门的积极指导下，榕城区教育局做好政府信息公开工作，不断加大信息公开的宣传力度，完善信息公开制度，扩展信息公开内容，使人民群众对教育工作的知情权、参与权和监督权得到保障。</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lang w:eastAsia="zh-CN"/>
        </w:rPr>
        <w:t>（一）</w:t>
      </w:r>
      <w:r>
        <w:rPr>
          <w:rFonts w:hint="eastAsia" w:ascii="楷体" w:hAnsi="楷体" w:eastAsia="楷体" w:cs="楷体"/>
          <w:b/>
          <w:bCs/>
          <w:sz w:val="30"/>
          <w:szCs w:val="30"/>
        </w:rPr>
        <w:t>公开指南，做好服务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榕城区教育局201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eastAsia="zh-CN"/>
        </w:rPr>
        <w:t>修订了</w:t>
      </w:r>
      <w:r>
        <w:rPr>
          <w:rFonts w:hint="eastAsia" w:ascii="仿宋" w:hAnsi="仿宋" w:eastAsia="仿宋" w:cs="仿宋"/>
          <w:sz w:val="32"/>
          <w:szCs w:val="32"/>
        </w:rPr>
        <w:t>《揭阳市榕城区教育局政府信息公开指南》，并附“信息公开申请表”和“信息公开申请处理流程图”，已发布在“政府信息公开专栏”－“区教育局”－“办事指南”栏目，方便人民群众办事。</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lang w:eastAsia="zh-CN"/>
        </w:rPr>
        <w:t>（二）</w:t>
      </w:r>
      <w:r>
        <w:rPr>
          <w:rFonts w:hint="eastAsia" w:ascii="楷体" w:hAnsi="楷体" w:eastAsia="楷体" w:cs="楷体"/>
          <w:b/>
          <w:bCs/>
          <w:sz w:val="30"/>
          <w:szCs w:val="30"/>
        </w:rPr>
        <w:t>公开信息，及时公布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根据《条例》的要求，结合教育局的工作动态，及时对外公布组织机构、规章文件、政务动态、财政预决算、政府信息公开年度报告等相关信息，包括</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榕城区教育局2019年政府信息公开工作年度报告</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揭阳市榕城区教育局职能配置、内设机构和人员编制规定</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揭阳市榕城区教育局政府信息公开指南</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揭阳市榕城区教育局2019年度法治政府建设情况报告</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关于对我区民办学校（含教育培训机构）2019年办学综合情况检查结果的通报</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212121"/>
          <w:spacing w:val="0"/>
          <w:sz w:val="32"/>
          <w:szCs w:val="32"/>
          <w:shd w:val="clear" w:fill="FFFFFF"/>
        </w:rPr>
        <w:t>关于对我区民办幼儿园201</w:t>
      </w:r>
      <w:r>
        <w:rPr>
          <w:rFonts w:hint="eastAsia" w:ascii="仿宋" w:hAnsi="仿宋" w:eastAsia="仿宋" w:cs="仿宋"/>
          <w:b w:val="0"/>
          <w:bCs w:val="0"/>
          <w:i w:val="0"/>
          <w:caps w:val="0"/>
          <w:color w:val="212121"/>
          <w:spacing w:val="0"/>
          <w:sz w:val="32"/>
          <w:szCs w:val="32"/>
          <w:shd w:val="clear" w:fill="FFFFFF"/>
          <w:lang w:val="en-US" w:eastAsia="zh-CN"/>
        </w:rPr>
        <w:t>9</w:t>
      </w:r>
      <w:r>
        <w:rPr>
          <w:rFonts w:hint="eastAsia" w:ascii="仿宋" w:hAnsi="仿宋" w:eastAsia="仿宋" w:cs="仿宋"/>
          <w:b w:val="0"/>
          <w:bCs w:val="0"/>
          <w:i w:val="0"/>
          <w:caps w:val="0"/>
          <w:color w:val="212121"/>
          <w:spacing w:val="0"/>
          <w:sz w:val="32"/>
          <w:szCs w:val="32"/>
          <w:shd w:val="clear" w:fill="FFFFFF"/>
        </w:rPr>
        <w:t>年办学综合情况检查结果的通报</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000000"/>
          <w:spacing w:val="0"/>
          <w:sz w:val="32"/>
          <w:szCs w:val="32"/>
        </w:rPr>
        <w:t>揭阳市榕城区教育局2019年（本级）部门预算</w:t>
      </w:r>
      <w:r>
        <w:rPr>
          <w:rFonts w:hint="eastAsia" w:ascii="仿宋" w:hAnsi="仿宋" w:eastAsia="仿宋" w:cs="仿宋"/>
          <w:b w:val="0"/>
          <w:bCs w:val="0"/>
          <w:sz w:val="32"/>
          <w:szCs w:val="32"/>
          <w:lang w:eastAsia="zh-CN"/>
        </w:rPr>
        <w:t>》《</w:t>
      </w:r>
      <w:r>
        <w:rPr>
          <w:rFonts w:hint="eastAsia" w:ascii="仿宋" w:hAnsi="仿宋" w:eastAsia="仿宋" w:cs="仿宋"/>
          <w:b w:val="0"/>
          <w:bCs w:val="0"/>
          <w:i w:val="0"/>
          <w:caps w:val="0"/>
          <w:color w:val="333333"/>
          <w:spacing w:val="0"/>
          <w:sz w:val="32"/>
          <w:szCs w:val="32"/>
          <w:u w:val="none"/>
          <w:shd w:val="clear" w:fill="FFFFFF"/>
        </w:rPr>
        <w:fldChar w:fldCharType="begin"/>
      </w:r>
      <w:r>
        <w:rPr>
          <w:rFonts w:hint="eastAsia" w:ascii="仿宋" w:hAnsi="仿宋" w:eastAsia="仿宋" w:cs="仿宋"/>
          <w:b w:val="0"/>
          <w:bCs w:val="0"/>
          <w:i w:val="0"/>
          <w:caps w:val="0"/>
          <w:color w:val="333333"/>
          <w:spacing w:val="0"/>
          <w:sz w:val="32"/>
          <w:szCs w:val="32"/>
          <w:u w:val="none"/>
          <w:shd w:val="clear" w:fill="FFFFFF"/>
        </w:rPr>
        <w:instrText xml:space="preserve"> HYPERLINK "http://cms.jieyang.gov.cn/api/material/attachment/view/78863" \t "http://cms.jieyang.gov.cn/admin" \l "/663006/cats/_blank" </w:instrText>
      </w:r>
      <w:r>
        <w:rPr>
          <w:rFonts w:hint="eastAsia" w:ascii="仿宋" w:hAnsi="仿宋" w:eastAsia="仿宋" w:cs="仿宋"/>
          <w:b w:val="0"/>
          <w:bCs w:val="0"/>
          <w:i w:val="0"/>
          <w:caps w:val="0"/>
          <w:color w:val="333333"/>
          <w:spacing w:val="0"/>
          <w:sz w:val="32"/>
          <w:szCs w:val="32"/>
          <w:u w:val="none"/>
          <w:shd w:val="clear" w:fill="FFFFFF"/>
        </w:rPr>
        <w:fldChar w:fldCharType="separate"/>
      </w:r>
      <w:r>
        <w:rPr>
          <w:rStyle w:val="5"/>
          <w:rFonts w:hint="eastAsia" w:ascii="仿宋" w:hAnsi="仿宋" w:eastAsia="仿宋" w:cs="仿宋"/>
          <w:b w:val="0"/>
          <w:bCs w:val="0"/>
          <w:i w:val="0"/>
          <w:caps w:val="0"/>
          <w:color w:val="333333"/>
          <w:spacing w:val="0"/>
          <w:sz w:val="32"/>
          <w:szCs w:val="32"/>
          <w:u w:val="none"/>
          <w:shd w:val="clear" w:fill="FFFFFF"/>
        </w:rPr>
        <w:t>2020年国家对广东省人民政府履行教育职责情况的满意度调查</w:t>
      </w:r>
      <w:r>
        <w:rPr>
          <w:rFonts w:hint="eastAsia" w:ascii="仿宋" w:hAnsi="仿宋" w:eastAsia="仿宋" w:cs="仿宋"/>
          <w:b w:val="0"/>
          <w:bCs w:val="0"/>
          <w:i w:val="0"/>
          <w:caps w:val="0"/>
          <w:color w:val="333333"/>
          <w:spacing w:val="0"/>
          <w:sz w:val="32"/>
          <w:szCs w:val="32"/>
          <w:u w:val="none"/>
          <w:shd w:val="clear" w:fill="FFFFFF"/>
        </w:rPr>
        <w:fldChar w:fldCharType="end"/>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等。</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lang w:eastAsia="zh-CN"/>
        </w:rPr>
        <w:t>（三）</w:t>
      </w:r>
      <w:r>
        <w:rPr>
          <w:rFonts w:hint="eastAsia" w:ascii="楷体" w:hAnsi="楷体" w:eastAsia="楷体" w:cs="楷体"/>
          <w:b/>
          <w:bCs/>
          <w:sz w:val="30"/>
          <w:szCs w:val="30"/>
        </w:rPr>
        <w:t>依申请公开，及时答复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按相关规定，榕城区教育局及时</w:t>
      </w:r>
      <w:r>
        <w:rPr>
          <w:rFonts w:hint="eastAsia" w:ascii="仿宋" w:hAnsi="仿宋" w:eastAsia="仿宋" w:cs="仿宋"/>
          <w:sz w:val="32"/>
          <w:szCs w:val="32"/>
          <w:lang w:eastAsia="zh-CN"/>
        </w:rPr>
        <w:t>关注</w:t>
      </w:r>
      <w:r>
        <w:rPr>
          <w:rFonts w:hint="eastAsia" w:ascii="仿宋" w:hAnsi="仿宋" w:eastAsia="仿宋" w:cs="仿宋"/>
          <w:sz w:val="32"/>
          <w:szCs w:val="32"/>
        </w:rPr>
        <w:t>依申请公开办理事项</w:t>
      </w:r>
      <w:r>
        <w:rPr>
          <w:rFonts w:hint="eastAsia" w:ascii="仿宋" w:hAnsi="仿宋" w:eastAsia="仿宋" w:cs="仿宋"/>
          <w:sz w:val="32"/>
          <w:szCs w:val="32"/>
          <w:lang w:eastAsia="zh-CN"/>
        </w:rPr>
        <w:t>栏目，能与</w:t>
      </w:r>
      <w:r>
        <w:rPr>
          <w:rFonts w:hint="eastAsia" w:ascii="仿宋" w:hAnsi="仿宋" w:eastAsia="仿宋" w:cs="仿宋"/>
          <w:sz w:val="32"/>
          <w:szCs w:val="32"/>
        </w:rPr>
        <w:t>区政府信息公开办</w:t>
      </w:r>
      <w:r>
        <w:rPr>
          <w:rFonts w:hint="eastAsia" w:ascii="仿宋" w:hAnsi="仿宋" w:eastAsia="仿宋" w:cs="仿宋"/>
          <w:sz w:val="32"/>
          <w:szCs w:val="32"/>
          <w:lang w:eastAsia="zh-CN"/>
        </w:rPr>
        <w:t>保持</w:t>
      </w:r>
      <w:r>
        <w:rPr>
          <w:rFonts w:hint="eastAsia" w:ascii="仿宋" w:hAnsi="仿宋" w:eastAsia="仿宋" w:cs="仿宋"/>
          <w:sz w:val="32"/>
          <w:szCs w:val="32"/>
        </w:rPr>
        <w:t>联系沟通</w:t>
      </w:r>
      <w:r>
        <w:rPr>
          <w:rFonts w:hint="eastAsia" w:ascii="仿宋" w:hAnsi="仿宋" w:eastAsia="仿宋" w:cs="仿宋"/>
          <w:sz w:val="32"/>
          <w:szCs w:val="32"/>
          <w:lang w:eastAsia="zh-CN"/>
        </w:rPr>
        <w:t>，有事及时办理答复，做到防范于未然</w:t>
      </w:r>
      <w:r>
        <w:rPr>
          <w:rFonts w:hint="eastAsia" w:ascii="仿宋" w:hAnsi="仿宋" w:eastAsia="仿宋" w:cs="仿宋"/>
          <w:sz w:val="32"/>
          <w:szCs w:val="32"/>
        </w:rPr>
        <w:t>。</w:t>
      </w:r>
      <w:r>
        <w:rPr>
          <w:rFonts w:hint="eastAsia" w:ascii="仿宋" w:hAnsi="仿宋" w:eastAsia="仿宋" w:cs="仿宋"/>
          <w:sz w:val="32"/>
          <w:szCs w:val="32"/>
          <w:lang w:val="en-US" w:eastAsia="zh-CN"/>
        </w:rPr>
        <w:t>2020年</w:t>
      </w:r>
      <w:r>
        <w:rPr>
          <w:rFonts w:hint="eastAsia" w:ascii="仿宋" w:hAnsi="仿宋" w:eastAsia="仿宋" w:cs="仿宋"/>
          <w:sz w:val="32"/>
          <w:szCs w:val="32"/>
        </w:rPr>
        <w:t>榕城区教育局</w:t>
      </w:r>
      <w:r>
        <w:rPr>
          <w:rFonts w:hint="eastAsia" w:ascii="仿宋" w:hAnsi="仿宋" w:eastAsia="仿宋" w:cs="仿宋"/>
          <w:sz w:val="32"/>
          <w:szCs w:val="32"/>
          <w:lang w:eastAsia="zh-CN"/>
        </w:rPr>
        <w:t>没有</w:t>
      </w:r>
      <w:r>
        <w:rPr>
          <w:rFonts w:hint="eastAsia" w:ascii="仿宋" w:hAnsi="仿宋" w:eastAsia="仿宋" w:cs="仿宋"/>
          <w:sz w:val="32"/>
          <w:szCs w:val="32"/>
        </w:rPr>
        <w:t>依申请公开办理事项</w:t>
      </w:r>
      <w:r>
        <w:rPr>
          <w:rFonts w:hint="eastAsia" w:ascii="仿宋" w:hAnsi="仿宋" w:eastAsia="仿宋" w:cs="仿宋"/>
          <w:sz w:val="32"/>
          <w:szCs w:val="32"/>
          <w:lang w:eastAsia="zh-CN"/>
        </w:rPr>
        <w:t>。</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lang w:eastAsia="zh-CN"/>
        </w:rPr>
        <w:t>（四）</w:t>
      </w:r>
      <w:r>
        <w:rPr>
          <w:rFonts w:hint="eastAsia" w:ascii="楷体" w:hAnsi="楷体" w:eastAsia="楷体" w:cs="楷体"/>
          <w:b/>
          <w:bCs/>
          <w:sz w:val="30"/>
          <w:szCs w:val="30"/>
        </w:rPr>
        <w:t>重点领域公开，做到公正透明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榕城区教育局及时在“揭阳市榕城区人民政府网”和“榕城教育在线”公开重点领域的相关信息。包括：教师招聘公告、小学新生报名、幼儿园设立批复、教师资格测评、学生助学贷款</w:t>
      </w:r>
      <w:r>
        <w:rPr>
          <w:rFonts w:hint="eastAsia" w:ascii="仿宋" w:hAnsi="仿宋" w:eastAsia="仿宋" w:cs="仿宋"/>
          <w:sz w:val="32"/>
          <w:szCs w:val="32"/>
          <w:lang w:eastAsia="zh-CN"/>
        </w:rPr>
        <w:t>、</w:t>
      </w:r>
      <w:r>
        <w:rPr>
          <w:rStyle w:val="5"/>
          <w:rFonts w:hint="eastAsia" w:ascii="仿宋" w:hAnsi="仿宋" w:eastAsia="仿宋" w:cs="仿宋"/>
          <w:i w:val="0"/>
          <w:caps w:val="0"/>
          <w:color w:val="auto"/>
          <w:spacing w:val="0"/>
          <w:sz w:val="32"/>
          <w:szCs w:val="32"/>
          <w:u w:val="none"/>
        </w:rPr>
        <w:t>推进社会公益事业建设领域政府信息公开工作</w:t>
      </w:r>
      <w:r>
        <w:rPr>
          <w:rFonts w:hint="eastAsia" w:ascii="仿宋" w:hAnsi="仿宋" w:eastAsia="仿宋" w:cs="仿宋"/>
          <w:sz w:val="32"/>
          <w:szCs w:val="32"/>
        </w:rPr>
        <w:t>等相关信息。</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lang w:eastAsia="zh-CN"/>
        </w:rPr>
        <w:t>（五）</w:t>
      </w:r>
      <w:r>
        <w:rPr>
          <w:rFonts w:hint="eastAsia" w:ascii="楷体" w:hAnsi="楷体" w:eastAsia="楷体" w:cs="楷体"/>
          <w:b/>
          <w:bCs/>
          <w:sz w:val="30"/>
          <w:szCs w:val="30"/>
        </w:rPr>
        <w:t>领导重视，分工负责</w:t>
      </w:r>
    </w:p>
    <w:p>
      <w:pPr>
        <w:ind w:firstLine="640" w:firstLineChars="200"/>
        <w:rPr>
          <w:rFonts w:hint="default" w:ascii="Times New Roman" w:hAnsi="Times New Roman" w:eastAsia="黑体" w:cs="Times New Roman"/>
          <w:b w:val="0"/>
          <w:bCs/>
          <w:i w:val="0"/>
          <w:caps w:val="0"/>
          <w:color w:val="auto"/>
          <w:spacing w:val="0"/>
          <w:sz w:val="28"/>
          <w:szCs w:val="28"/>
          <w:shd w:val="clear" w:fill="FFFFFF"/>
        </w:rPr>
      </w:pPr>
      <w:r>
        <w:rPr>
          <w:rFonts w:hint="eastAsia" w:ascii="仿宋" w:hAnsi="仿宋" w:eastAsia="仿宋" w:cs="仿宋"/>
          <w:sz w:val="32"/>
          <w:szCs w:val="32"/>
        </w:rPr>
        <w:t>榕城区教育局高度重视政务公开工作，经班子会议讨论，决定由陈晓生副局长分管政务公开工作，印发</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揭阳市榕城区教育</w:t>
      </w:r>
      <w:r>
        <w:rPr>
          <w:rFonts w:hint="eastAsia" w:ascii="仿宋" w:hAnsi="仿宋" w:eastAsia="仿宋" w:cs="仿宋"/>
          <w:sz w:val="32"/>
          <w:szCs w:val="32"/>
        </w:rPr>
        <w:t>局</w:t>
      </w:r>
      <w:r>
        <w:rPr>
          <w:rFonts w:hint="eastAsia" w:ascii="仿宋" w:hAnsi="仿宋" w:eastAsia="仿宋" w:cs="仿宋"/>
          <w:sz w:val="32"/>
          <w:szCs w:val="32"/>
          <w:lang w:eastAsia="zh-CN"/>
        </w:rPr>
        <w:t>关于调整局</w:t>
      </w:r>
      <w:r>
        <w:rPr>
          <w:rFonts w:hint="eastAsia" w:ascii="仿宋" w:hAnsi="仿宋" w:eastAsia="仿宋" w:cs="仿宋"/>
          <w:sz w:val="32"/>
          <w:szCs w:val="32"/>
        </w:rPr>
        <w:t>领导班子成员工作分工的通知》（揭榕教〔202</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92</w:t>
      </w:r>
      <w:r>
        <w:rPr>
          <w:rFonts w:hint="eastAsia" w:ascii="仿宋" w:hAnsi="仿宋" w:eastAsia="仿宋" w:cs="仿宋"/>
          <w:sz w:val="32"/>
          <w:szCs w:val="32"/>
        </w:rPr>
        <w:t>号），已发布在“政府信息公开专栏”－“区教育局”－“领导分工”栏目，对外公布。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Times New Roman" w:hAnsi="Times New Roman" w:eastAsia="黑体" w:cs="Times New Roman"/>
          <w:b w:val="0"/>
          <w:bCs/>
          <w:i w:val="0"/>
          <w:caps w:val="0"/>
          <w:color w:val="auto"/>
          <w:spacing w:val="0"/>
          <w:sz w:val="28"/>
          <w:szCs w:val="28"/>
          <w:shd w:val="clear" w:fill="FFFFFF"/>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主动公开政府信息情况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p>
    <w:tbl>
      <w:tblPr>
        <w:tblStyle w:val="6"/>
        <w:tblW w:w="9200" w:type="dxa"/>
        <w:jc w:val="center"/>
        <w:tblInd w:w="191" w:type="dxa"/>
        <w:shd w:val="clear" w:color="auto" w:fill="auto"/>
        <w:tblLayout w:type="fixed"/>
        <w:tblCellMar>
          <w:top w:w="0" w:type="dxa"/>
          <w:left w:w="0" w:type="dxa"/>
          <w:bottom w:w="0" w:type="dxa"/>
          <w:right w:w="0" w:type="dxa"/>
        </w:tblCellMar>
      </w:tblPr>
      <w:tblGrid>
        <w:gridCol w:w="3033"/>
        <w:gridCol w:w="2268"/>
        <w:gridCol w:w="1668"/>
        <w:gridCol w:w="2231"/>
      </w:tblGrid>
      <w:tr>
        <w:tblPrEx>
          <w:shd w:val="clear" w:color="auto" w:fill="auto"/>
          <w:tblLayout w:type="fixed"/>
          <w:tblCellMar>
            <w:top w:w="0" w:type="dxa"/>
            <w:left w:w="0" w:type="dxa"/>
            <w:bottom w:w="0" w:type="dxa"/>
            <w:right w:w="0" w:type="dxa"/>
          </w:tblCellMar>
        </w:tblPrEx>
        <w:trPr>
          <w:trHeight w:val="481" w:hRule="atLeast"/>
          <w:jc w:val="center"/>
        </w:trPr>
        <w:tc>
          <w:tcPr>
            <w:tcW w:w="920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第二十条第（一）项</w:t>
            </w:r>
          </w:p>
        </w:tc>
      </w:tr>
      <w:tr>
        <w:tblPrEx>
          <w:tblLayout w:type="fixed"/>
          <w:tblCellMar>
            <w:top w:w="0" w:type="dxa"/>
            <w:left w:w="0" w:type="dxa"/>
            <w:bottom w:w="0" w:type="dxa"/>
            <w:right w:w="0" w:type="dxa"/>
          </w:tblCellMar>
        </w:tblPrEx>
        <w:trPr>
          <w:trHeight w:val="819"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信息内容</w:t>
            </w:r>
          </w:p>
        </w:tc>
        <w:tc>
          <w:tcPr>
            <w:tcW w:w="22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本年新制作数量</w:t>
            </w:r>
          </w:p>
        </w:tc>
        <w:tc>
          <w:tcPr>
            <w:tcW w:w="16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本年新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公开数量</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对外公开总数量</w:t>
            </w:r>
          </w:p>
        </w:tc>
      </w:tr>
      <w:tr>
        <w:tblPrEx>
          <w:tblLayout w:type="fixed"/>
          <w:tblCellMar>
            <w:top w:w="0" w:type="dxa"/>
            <w:left w:w="0" w:type="dxa"/>
            <w:bottom w:w="0" w:type="dxa"/>
            <w:right w:w="0" w:type="dxa"/>
          </w:tblCellMar>
        </w:tblPrEx>
        <w:trPr>
          <w:trHeight w:val="498"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规章</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r>
      <w:tr>
        <w:tblPrEx>
          <w:tblLayout w:type="fixed"/>
          <w:tblCellMar>
            <w:top w:w="0" w:type="dxa"/>
            <w:left w:w="0" w:type="dxa"/>
            <w:bottom w:w="0" w:type="dxa"/>
            <w:right w:w="0" w:type="dxa"/>
          </w:tblCellMar>
        </w:tblPrEx>
        <w:trPr>
          <w:trHeight w:val="464"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规范性文件</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r>
      <w:tr>
        <w:tblPrEx>
          <w:tblLayout w:type="fixed"/>
          <w:tblCellMar>
            <w:top w:w="0" w:type="dxa"/>
            <w:left w:w="0" w:type="dxa"/>
            <w:bottom w:w="0" w:type="dxa"/>
            <w:right w:w="0" w:type="dxa"/>
          </w:tblCellMar>
        </w:tblPrEx>
        <w:trPr>
          <w:trHeight w:val="470" w:hRule="atLeast"/>
          <w:jc w:val="center"/>
        </w:trPr>
        <w:tc>
          <w:tcPr>
            <w:tcW w:w="920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第二十条第（五）项</w:t>
            </w:r>
          </w:p>
        </w:tc>
      </w:tr>
      <w:tr>
        <w:tblPrEx>
          <w:tblLayout w:type="fixed"/>
          <w:tblCellMar>
            <w:top w:w="0" w:type="dxa"/>
            <w:left w:w="0" w:type="dxa"/>
            <w:bottom w:w="0" w:type="dxa"/>
            <w:right w:w="0" w:type="dxa"/>
          </w:tblCellMar>
        </w:tblPrEx>
        <w:trPr>
          <w:trHeight w:val="684"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信息内容</w:t>
            </w:r>
          </w:p>
        </w:tc>
        <w:tc>
          <w:tcPr>
            <w:tcW w:w="22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上一年项目数量</w:t>
            </w:r>
          </w:p>
        </w:tc>
        <w:tc>
          <w:tcPr>
            <w:tcW w:w="16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本年增/减</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处理决定数量</w:t>
            </w:r>
          </w:p>
        </w:tc>
      </w:tr>
      <w:tr>
        <w:tblPrEx>
          <w:tblLayout w:type="fixed"/>
          <w:tblCellMar>
            <w:top w:w="0" w:type="dxa"/>
            <w:left w:w="0" w:type="dxa"/>
            <w:bottom w:w="0" w:type="dxa"/>
            <w:right w:w="0" w:type="dxa"/>
          </w:tblCellMar>
        </w:tblPrEx>
        <w:trPr>
          <w:trHeight w:val="501"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行政许可</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r>
      <w:tr>
        <w:tblPrEx>
          <w:tblLayout w:type="fixed"/>
          <w:tblCellMar>
            <w:top w:w="0" w:type="dxa"/>
            <w:left w:w="0" w:type="dxa"/>
            <w:bottom w:w="0" w:type="dxa"/>
            <w:right w:w="0" w:type="dxa"/>
          </w:tblCellMar>
        </w:tblPrEx>
        <w:trPr>
          <w:trHeight w:val="819"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其他对外管理服务事项</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48</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-8</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40</w:t>
            </w:r>
          </w:p>
        </w:tc>
      </w:tr>
      <w:tr>
        <w:tblPrEx>
          <w:tblLayout w:type="fixed"/>
          <w:tblCellMar>
            <w:top w:w="0" w:type="dxa"/>
            <w:left w:w="0" w:type="dxa"/>
            <w:bottom w:w="0" w:type="dxa"/>
            <w:right w:w="0" w:type="dxa"/>
          </w:tblCellMar>
        </w:tblPrEx>
        <w:trPr>
          <w:trHeight w:val="441" w:hRule="atLeast"/>
          <w:jc w:val="center"/>
        </w:trPr>
        <w:tc>
          <w:tcPr>
            <w:tcW w:w="920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第二十条第（六）项</w:t>
            </w:r>
          </w:p>
        </w:tc>
      </w:tr>
      <w:tr>
        <w:tblPrEx>
          <w:tblLayout w:type="fixed"/>
          <w:tblCellMar>
            <w:top w:w="0" w:type="dxa"/>
            <w:left w:w="0" w:type="dxa"/>
            <w:bottom w:w="0" w:type="dxa"/>
            <w:right w:w="0" w:type="dxa"/>
          </w:tblCellMar>
        </w:tblPrEx>
        <w:trPr>
          <w:trHeight w:val="684"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信息内容</w:t>
            </w:r>
          </w:p>
        </w:tc>
        <w:tc>
          <w:tcPr>
            <w:tcW w:w="22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上一年项目数量</w:t>
            </w:r>
          </w:p>
        </w:tc>
        <w:tc>
          <w:tcPr>
            <w:tcW w:w="16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本年增/减</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处理决定数量</w:t>
            </w:r>
          </w:p>
        </w:tc>
      </w:tr>
      <w:tr>
        <w:tblPrEx>
          <w:tblLayout w:type="fixed"/>
          <w:tblCellMar>
            <w:top w:w="0" w:type="dxa"/>
            <w:left w:w="0" w:type="dxa"/>
            <w:bottom w:w="0" w:type="dxa"/>
            <w:right w:w="0" w:type="dxa"/>
          </w:tblCellMar>
        </w:tblPrEx>
        <w:trPr>
          <w:trHeight w:val="441"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行政处罚</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r>
      <w:tr>
        <w:tblPrEx>
          <w:tblLayout w:type="fixed"/>
          <w:tblCellMar>
            <w:top w:w="0" w:type="dxa"/>
            <w:left w:w="0" w:type="dxa"/>
            <w:bottom w:w="0" w:type="dxa"/>
            <w:right w:w="0" w:type="dxa"/>
          </w:tblCellMar>
        </w:tblPrEx>
        <w:trPr>
          <w:trHeight w:val="441"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行政强制</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r>
      <w:tr>
        <w:tblPrEx>
          <w:tblLayout w:type="fixed"/>
          <w:tblCellMar>
            <w:top w:w="0" w:type="dxa"/>
            <w:left w:w="0" w:type="dxa"/>
            <w:bottom w:w="0" w:type="dxa"/>
            <w:right w:w="0" w:type="dxa"/>
          </w:tblCellMar>
        </w:tblPrEx>
        <w:trPr>
          <w:trHeight w:val="467" w:hRule="atLeast"/>
          <w:jc w:val="center"/>
        </w:trPr>
        <w:tc>
          <w:tcPr>
            <w:tcW w:w="920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第二十条第（八）项</w:t>
            </w:r>
          </w:p>
        </w:tc>
      </w:tr>
      <w:tr>
        <w:tblPrEx>
          <w:tblLayout w:type="fixed"/>
          <w:tblCellMar>
            <w:top w:w="0" w:type="dxa"/>
            <w:left w:w="0" w:type="dxa"/>
            <w:bottom w:w="0" w:type="dxa"/>
            <w:right w:w="0" w:type="dxa"/>
          </w:tblCellMar>
        </w:tblPrEx>
        <w:trPr>
          <w:trHeight w:val="684"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信息内容</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上一年项目数量</w:t>
            </w:r>
          </w:p>
        </w:tc>
        <w:tc>
          <w:tcPr>
            <w:tcW w:w="3899"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本年增/减</w:t>
            </w:r>
          </w:p>
        </w:tc>
      </w:tr>
      <w:tr>
        <w:tblPrEx>
          <w:tblLayout w:type="fixed"/>
          <w:tblCellMar>
            <w:top w:w="0" w:type="dxa"/>
            <w:left w:w="0" w:type="dxa"/>
            <w:bottom w:w="0" w:type="dxa"/>
            <w:right w:w="0" w:type="dxa"/>
          </w:tblCellMar>
        </w:tblPrEx>
        <w:trPr>
          <w:trHeight w:val="516"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行政事业性收费</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3899"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r>
      <w:tr>
        <w:tblPrEx>
          <w:tblLayout w:type="fixed"/>
          <w:tblCellMar>
            <w:top w:w="0" w:type="dxa"/>
            <w:left w:w="0" w:type="dxa"/>
            <w:bottom w:w="0" w:type="dxa"/>
            <w:right w:w="0" w:type="dxa"/>
          </w:tblCellMar>
        </w:tblPrEx>
        <w:trPr>
          <w:trHeight w:val="468" w:hRule="atLeast"/>
          <w:jc w:val="center"/>
        </w:trPr>
        <w:tc>
          <w:tcPr>
            <w:tcW w:w="920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第二十条第（九）项</w:t>
            </w:r>
          </w:p>
        </w:tc>
      </w:tr>
      <w:tr>
        <w:tblPrEx>
          <w:tblLayout w:type="fixed"/>
          <w:tblCellMar>
            <w:top w:w="0" w:type="dxa"/>
            <w:left w:w="0" w:type="dxa"/>
            <w:bottom w:w="0" w:type="dxa"/>
            <w:right w:w="0" w:type="dxa"/>
          </w:tblCellMar>
        </w:tblPrEx>
        <w:trPr>
          <w:trHeight w:val="539"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信息内容</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采购项目数量</w:t>
            </w:r>
          </w:p>
        </w:tc>
        <w:tc>
          <w:tcPr>
            <w:tcW w:w="3899"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采购总金额</w:t>
            </w:r>
          </w:p>
        </w:tc>
      </w:tr>
      <w:tr>
        <w:tblPrEx>
          <w:tblLayout w:type="fixed"/>
          <w:tblCellMar>
            <w:top w:w="0" w:type="dxa"/>
            <w:left w:w="0" w:type="dxa"/>
            <w:bottom w:w="0" w:type="dxa"/>
            <w:right w:w="0" w:type="dxa"/>
          </w:tblCellMar>
        </w:tblPrEx>
        <w:trPr>
          <w:trHeight w:val="669" w:hRule="atLeast"/>
          <w:jc w:val="center"/>
        </w:trPr>
        <w:tc>
          <w:tcPr>
            <w:tcW w:w="30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政府集中采购</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w:t>
            </w:r>
            <w:r>
              <w:rPr>
                <w:rFonts w:hint="eastAsia" w:ascii="Times New Roman" w:hAnsi="Times New Roman" w:eastAsia="仿宋_GB2312" w:cs="Times New Roman"/>
                <w:color w:val="auto"/>
                <w:kern w:val="0"/>
                <w:sz w:val="28"/>
                <w:szCs w:val="28"/>
                <w:lang w:val="en-US" w:eastAsia="zh-CN" w:bidi="ar"/>
              </w:rPr>
              <w:t>0</w:t>
            </w:r>
          </w:p>
        </w:tc>
        <w:tc>
          <w:tcPr>
            <w:tcW w:w="3899"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Times New Roman" w:hAnsi="Times New Roman" w:eastAsia="黑体" w:cs="Times New Roman"/>
          <w:b w:val="0"/>
          <w:bCs/>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三、收到和处理政府信息公开申请情况</w:t>
      </w:r>
    </w:p>
    <w:tbl>
      <w:tblPr>
        <w:tblStyle w:val="6"/>
        <w:tblW w:w="10600"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9"/>
        <w:gridCol w:w="860"/>
        <w:gridCol w:w="3069"/>
        <w:gridCol w:w="968"/>
        <w:gridCol w:w="816"/>
        <w:gridCol w:w="772"/>
        <w:gridCol w:w="1022"/>
        <w:gridCol w:w="969"/>
        <w:gridCol w:w="724"/>
        <w:gridCol w:w="8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03" w:hRule="atLeast"/>
          <w:jc w:val="center"/>
        </w:trPr>
        <w:tc>
          <w:tcPr>
            <w:tcW w:w="448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（本列数据的勾稽关系为：第一项加第二项之和，等于第三项加第四项之和）</w:t>
            </w:r>
          </w:p>
        </w:tc>
        <w:tc>
          <w:tcPr>
            <w:tcW w:w="611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448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96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自然人</w:t>
            </w:r>
          </w:p>
        </w:tc>
        <w:tc>
          <w:tcPr>
            <w:tcW w:w="430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法人或其他组织</w:t>
            </w:r>
          </w:p>
        </w:tc>
        <w:tc>
          <w:tcPr>
            <w:tcW w:w="841" w:type="dxa"/>
            <w:vMerge w:val="restart"/>
            <w:tcBorders>
              <w:top w:val="single" w:color="auto" w:sz="8" w:space="0"/>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7" w:hRule="atLeast"/>
          <w:jc w:val="center"/>
        </w:trPr>
        <w:tc>
          <w:tcPr>
            <w:tcW w:w="448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96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商业企业</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科研机构</w:t>
            </w:r>
          </w:p>
        </w:tc>
        <w:tc>
          <w:tcPr>
            <w:tcW w:w="10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社会公益组织</w:t>
            </w:r>
          </w:p>
        </w:tc>
        <w:tc>
          <w:tcPr>
            <w:tcW w:w="9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法律服务机构</w:t>
            </w:r>
          </w:p>
        </w:tc>
        <w:tc>
          <w:tcPr>
            <w:tcW w:w="72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其他</w:t>
            </w:r>
          </w:p>
        </w:tc>
        <w:tc>
          <w:tcPr>
            <w:tcW w:w="841"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448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一、本年新收政府信息公开申请数量</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448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二、上年结转政府信息公开申请数量</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三、本年度办理结果</w:t>
            </w:r>
          </w:p>
        </w:tc>
        <w:tc>
          <w:tcPr>
            <w:tcW w:w="392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（一）予以公开</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7"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92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（二）部分公开（区分处理的，只计这一情形，不计其他情形）</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（三）不予公开</w:t>
            </w: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1.属于国家秘密</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7"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2.其他法律行政法规禁止公开</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3.危及“三安全一稳定”</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4.保护第三方合法权益</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5.属于三类内部事务信息</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6.属于四类过程性信息</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7.属于行政执法案卷</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8.属于行政查询事项</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7"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（四）无法提供</w:t>
            </w: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1.本机关不掌握相关政府信息</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7"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2.没有现成信息需要另行制作</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3.补正后申请内容仍不明确</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（五）不予处理</w:t>
            </w: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1.信访举报投诉类申请</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2.重复申请</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3.要求提供公开出版物</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4.无正当理由大量反复申请</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7"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8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0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5.要求行政机关确认或重新出具已获取信息</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92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（六）其他处理</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jc w:val="center"/>
        </w:trPr>
        <w:tc>
          <w:tcPr>
            <w:tcW w:w="55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p>
        </w:tc>
        <w:tc>
          <w:tcPr>
            <w:tcW w:w="392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（七）总计</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r>
              <w:rPr>
                <w:rFonts w:hint="eastAsia" w:ascii="Times New Roman" w:hAnsi="Times New Roman" w:cs="Times New Roman"/>
                <w:color w:val="auto"/>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3" w:hRule="atLeast"/>
          <w:jc w:val="center"/>
        </w:trPr>
        <w:tc>
          <w:tcPr>
            <w:tcW w:w="448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四、结转下年度继续办理</w:t>
            </w:r>
          </w:p>
        </w:tc>
        <w:tc>
          <w:tcPr>
            <w:tcW w:w="9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9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7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leftChars="0" w:right="0" w:rightChars="0" w:firstLine="420"/>
        <w:jc w:val="left"/>
        <w:textAlignment w:val="auto"/>
        <w:outlineLvl w:val="9"/>
        <w:rPr>
          <w:rFonts w:hint="default" w:ascii="Times New Roman" w:hAnsi="Times New Roman" w:eastAsia="仿宋_GB2312" w:cs="Times New Roman"/>
          <w:i w:val="0"/>
          <w:caps w:val="0"/>
          <w:color w:val="auto"/>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四、政府信息公开行政复议、行政诉讼情况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leftChars="0" w:right="0" w:rightChars="0" w:firstLine="420"/>
        <w:jc w:val="left"/>
        <w:textAlignment w:val="auto"/>
        <w:outlineLvl w:val="9"/>
        <w:rPr>
          <w:rFonts w:hint="default" w:ascii="Times New Roman" w:hAnsi="Times New Roman" w:eastAsia="仿宋_GB2312" w:cs="Times New Roman"/>
          <w:i w:val="0"/>
          <w:caps w:val="0"/>
          <w:color w:val="auto"/>
          <w:spacing w:val="0"/>
          <w:sz w:val="28"/>
          <w:szCs w:val="28"/>
        </w:rPr>
      </w:pP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65"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5"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jc w:val="center"/>
              <w:textAlignment w:val="auto"/>
              <w:outlineLvl w:val="9"/>
              <w:rPr>
                <w:rFonts w:hint="default" w:ascii="Times New Roman" w:hAnsi="Times New Roman" w:eastAsia="仿宋_GB2312" w:cs="Times New Roman"/>
                <w:color w:val="auto"/>
                <w:sz w:val="28"/>
                <w:szCs w:val="28"/>
              </w:rPr>
            </w:pP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center"/>
              <w:textAlignment w:val="auto"/>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20" w:lineRule="exact"/>
        <w:ind w:left="0" w:leftChars="0" w:right="0" w:rightChars="0" w:firstLine="0"/>
        <w:jc w:val="left"/>
        <w:textAlignment w:val="auto"/>
        <w:outlineLvl w:val="9"/>
        <w:rPr>
          <w:rFonts w:hint="default" w:ascii="Times New Roman" w:hAnsi="Times New Roman" w:eastAsia="仿宋_GB2312" w:cs="Times New Roman"/>
          <w:i w:val="0"/>
          <w:caps w:val="0"/>
          <w:color w:val="auto"/>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五、存在的主要问题及改进情况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榕城区教育局政府信息公开工作虽然做了一些工作，但与《条例》的要求和公众的需求还存在差距，存在的主要问题有：信息公开工作制度化建设有待进一步加强；信息公开载体未能成系统；信息更新速度有待进一步提高。</w:t>
      </w:r>
    </w:p>
    <w:p>
      <w:pPr>
        <w:ind w:firstLine="640" w:firstLineChars="200"/>
        <w:rPr>
          <w:rFonts w:hint="eastAsia" w:ascii="仿宋" w:hAnsi="仿宋" w:eastAsia="仿宋" w:cs="仿宋"/>
          <w:i w:val="0"/>
          <w:caps w:val="0"/>
          <w:color w:val="auto"/>
          <w:spacing w:val="0"/>
          <w:sz w:val="32"/>
          <w:szCs w:val="32"/>
          <w:shd w:val="clear" w:fill="FFFFFF"/>
        </w:rPr>
      </w:pPr>
      <w:r>
        <w:rPr>
          <w:rFonts w:hint="eastAsia" w:ascii="仿宋" w:hAnsi="仿宋" w:eastAsia="仿宋" w:cs="仿宋"/>
          <w:sz w:val="32"/>
          <w:szCs w:val="32"/>
          <w:lang w:eastAsia="zh-CN"/>
        </w:rPr>
        <w:t>今后</w:t>
      </w:r>
      <w:r>
        <w:rPr>
          <w:rFonts w:hint="eastAsia" w:ascii="仿宋" w:hAnsi="仿宋" w:eastAsia="仿宋" w:cs="仿宋"/>
          <w:sz w:val="32"/>
          <w:szCs w:val="32"/>
        </w:rPr>
        <w:t>，榕城区教育局将加强信息公开工作，力争在规范化、制度化、程序化等方面取得新进展，在创新工作思路、完善工作平台上取得新突破，不断提高信息公开的时效性和专业性，进一步提高政府信息公开工作的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sz w:val="32"/>
          <w:szCs w:val="32"/>
          <w:shd w:val="clear" w:fill="FFFFFF"/>
        </w:rPr>
      </w:pPr>
      <w:r>
        <w:rPr>
          <w:rFonts w:hint="default" w:ascii="Times New Roman" w:hAnsi="Times New Roman" w:eastAsia="黑体" w:cs="Times New Roman"/>
          <w:b w:val="0"/>
          <w:bCs/>
          <w:i w:val="0"/>
          <w:caps w:val="0"/>
          <w:color w:val="auto"/>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outlineLvl w:val="9"/>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没有其他需要报告的事项。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outlineLvl w:val="9"/>
        <w:rPr>
          <w:rFonts w:hint="eastAsia" w:ascii="Times New Roman" w:hAnsi="Times New Roman" w:eastAsia="仿宋_GB2312" w:cs="Times New Roman"/>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outlineLvl w:val="9"/>
        <w:rPr>
          <w:rFonts w:hint="eastAsia" w:ascii="Times New Roman" w:hAnsi="Times New Roman" w:eastAsia="仿宋_GB2312" w:cs="Times New Roman"/>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val="en-US" w:eastAsia="zh-CN"/>
        </w:rPr>
        <w:t>榕城区教育局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4800" w:firstLineChars="150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2021年1月15日</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仿宋" w:hAnsi="仿宋" w:eastAsia="仿宋" w:cs="仿宋"/>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11524"/>
    <w:multiLevelType w:val="singleLevel"/>
    <w:tmpl w:val="6001152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A720E"/>
    <w:rsid w:val="0DAB5320"/>
    <w:rsid w:val="10451666"/>
    <w:rsid w:val="154E7D82"/>
    <w:rsid w:val="1720261F"/>
    <w:rsid w:val="23044DC2"/>
    <w:rsid w:val="26717EDF"/>
    <w:rsid w:val="39893F62"/>
    <w:rsid w:val="4F7966A4"/>
    <w:rsid w:val="663A720E"/>
    <w:rsid w:val="6B2C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揭阳市人民政府办公室</Company>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2020-01-02T08:35:00Z</dcterms:created>
  <dc:creator>admin</dc:creator>
  <cp:lastModifiedBy>佘雄周</cp:lastModifiedBy>
  <cp:lastPrinted>2021-01-15T03:33:00Z</cp:lastPrinted>
  <dcterms:modified xsi:type="dcterms:W3CDTF">2021-01-29T08:15:53Z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